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54EE3" w:rsidR="00754EE3" w:rsidP="00754EE3" w:rsidRDefault="00754EE3" w14:paraId="262D9E7C" w14:textId="77777777">
      <w:pPr>
        <w:pBdr>
          <w:top w:val="nil"/>
          <w:left w:val="nil"/>
          <w:bottom w:val="nil"/>
          <w:right w:val="nil"/>
          <w:between w:val="nil"/>
        </w:pBdr>
        <w:spacing w:before="0" w:after="0"/>
        <w:rPr>
          <w:rFonts w:ascii="Calibri" w:hAnsi="Calibri" w:eastAsia="Calibri" w:cs="Calibri"/>
          <w:color w:val="auto"/>
          <w:sz w:val="24"/>
          <w:szCs w:val="24"/>
        </w:rPr>
      </w:pPr>
    </w:p>
    <w:tbl>
      <w:tblPr>
        <w:tblStyle w:val="TableGridLight"/>
        <w:tblW w:w="10705" w:type="dxa"/>
        <w:tblLayout w:type="fixed"/>
        <w:tblLook w:val="0000" w:firstRow="0" w:lastRow="0" w:firstColumn="0" w:lastColumn="0" w:noHBand="0" w:noVBand="0"/>
      </w:tblPr>
      <w:tblGrid>
        <w:gridCol w:w="2325"/>
        <w:gridCol w:w="8380"/>
      </w:tblGrid>
      <w:tr w:rsidRPr="00754EE3" w:rsidR="00754EE3" w:rsidTr="61506038" w14:paraId="0FE02AC4" w14:textId="77777777">
        <w:trPr>
          <w:trHeight w:val="1035"/>
        </w:trPr>
        <w:tc>
          <w:tcPr>
            <w:tcW w:w="2325" w:type="dxa"/>
            <w:tcMar/>
          </w:tcPr>
          <w:p w:rsidRPr="00754EE3" w:rsidR="00754EE3" w:rsidP="006348E5" w:rsidRDefault="00754EE3" w14:paraId="3F25BD22" w14:textId="77777777">
            <w:pPr>
              <w:jc w:val="both"/>
              <w:rPr>
                <w:rFonts w:ascii="Calibri" w:hAnsi="Calibri" w:eastAsia="Calibri" w:cs="Calibri"/>
                <w:b/>
                <w:color w:val="auto"/>
                <w:sz w:val="24"/>
                <w:szCs w:val="24"/>
              </w:rPr>
            </w:pPr>
            <w:r w:rsidRPr="00754EE3">
              <w:rPr>
                <w:rFonts w:ascii="Calibri" w:hAnsi="Calibri" w:eastAsia="Calibri" w:cs="Calibri"/>
                <w:b/>
                <w:color w:val="auto"/>
                <w:sz w:val="24"/>
                <w:szCs w:val="24"/>
              </w:rPr>
              <w:t>POLICY TITLE:</w:t>
            </w:r>
          </w:p>
        </w:tc>
        <w:tc>
          <w:tcPr>
            <w:tcW w:w="8380" w:type="dxa"/>
            <w:tcMar/>
          </w:tcPr>
          <w:p w:rsidRPr="00754EE3" w:rsidR="00754EE3" w:rsidP="66CEB17B" w:rsidRDefault="00754EE3" w14:paraId="25D5A323" w14:textId="1F6D913E">
            <w:pPr>
              <w:pStyle w:val="Normal"/>
              <w:keepNext w:val="1"/>
              <w:keepLines w:val="1"/>
              <w:widowControl w:val="0"/>
              <w:spacing w:before="240"/>
              <w:rPr>
                <w:noProof w:val="0"/>
                <w:lang w:val="en-US"/>
              </w:rPr>
            </w:pPr>
            <w:r w:rsidRPr="66CEB17B" w:rsidR="00754EE3">
              <w:rPr>
                <w:rFonts w:ascii="Calibri" w:hAnsi="Calibri" w:eastAsia="Abadi" w:cs="Calibri"/>
                <w:b w:val="1"/>
                <w:bCs w:val="1"/>
                <w:caps w:val="0"/>
                <w:smallCaps w:val="0"/>
                <w:color w:val="000000" w:themeColor="text1" w:themeTint="FF" w:themeShade="FF"/>
                <w:sz w:val="32"/>
                <w:szCs w:val="32"/>
                <w:u w:val="none"/>
              </w:rPr>
              <w:t xml:space="preserve">Privacy Regulations </w:t>
            </w:r>
            <w:r w:rsidRPr="66CEB17B" w:rsidR="004050B2">
              <w:rPr>
                <w:rFonts w:ascii="Calibri" w:hAnsi="Calibri" w:eastAsia="Abadi" w:cs="Calibri"/>
                <w:b w:val="1"/>
                <w:bCs w:val="1"/>
                <w:caps w:val="0"/>
                <w:smallCaps w:val="0"/>
                <w:color w:val="000000" w:themeColor="text1" w:themeTint="FF" w:themeShade="FF"/>
                <w:sz w:val="32"/>
                <w:szCs w:val="32"/>
                <w:u w:val="none"/>
              </w:rPr>
              <w:t>R</w:t>
            </w:r>
            <w:r w:rsidRPr="66CEB17B" w:rsidR="00754EE3">
              <w:rPr>
                <w:rFonts w:ascii="Calibri" w:hAnsi="Calibri" w:eastAsia="Abadi" w:cs="Calibri"/>
                <w:b w:val="1"/>
                <w:bCs w:val="1"/>
                <w:caps w:val="0"/>
                <w:smallCaps w:val="0"/>
                <w:color w:val="000000" w:themeColor="text1" w:themeTint="FF" w:themeShade="FF"/>
                <w:sz w:val="32"/>
                <w:szCs w:val="32"/>
                <w:u w:val="none"/>
              </w:rPr>
              <w:t>elated to Client Rights and Grievances</w:t>
            </w:r>
            <w:r w:rsidRPr="66CEB17B" w:rsidR="004050B2">
              <w:rPr>
                <w:rFonts w:ascii="Calibri" w:hAnsi="Calibri" w:eastAsia="Abadi" w:cs="Calibri"/>
                <w:b w:val="1"/>
                <w:bCs w:val="1"/>
                <w:caps w:val="0"/>
                <w:smallCaps w:val="0"/>
                <w:color w:val="000000" w:themeColor="text1" w:themeTint="FF" w:themeShade="FF"/>
                <w:sz w:val="32"/>
                <w:szCs w:val="32"/>
                <w:u w:val="none"/>
              </w:rPr>
              <w:t xml:space="preserve"> Policy</w:t>
            </w:r>
            <w:r w:rsidRPr="66CEB17B" w:rsidR="3402C0BB">
              <w:rPr>
                <w:rFonts w:ascii="Calibri" w:hAnsi="Calibri" w:eastAsia="Calibri" w:cs="Calibri"/>
                <w:b w:val="0"/>
                <w:bCs w:val="0"/>
                <w:i w:val="0"/>
                <w:iCs w:val="0"/>
                <w:caps w:val="1"/>
                <w:noProof w:val="0"/>
                <w:color w:val="000000" w:themeColor="text1" w:themeTint="FF" w:themeShade="FF"/>
                <w:sz w:val="32"/>
                <w:szCs w:val="32"/>
                <w:lang w:val="en-US"/>
              </w:rPr>
              <w:t xml:space="preserve"> - CP28</w:t>
            </w:r>
          </w:p>
        </w:tc>
      </w:tr>
      <w:tr w:rsidRPr="00754EE3" w:rsidR="00754EE3" w:rsidTr="61506038" w14:paraId="4A61E5D1" w14:textId="77777777">
        <w:trPr>
          <w:trHeight w:val="490"/>
        </w:trPr>
        <w:tc>
          <w:tcPr>
            <w:tcW w:w="2325" w:type="dxa"/>
            <w:tcMar/>
          </w:tcPr>
          <w:p w:rsidRPr="00754EE3" w:rsidR="00754EE3" w:rsidP="006348E5" w:rsidRDefault="00754EE3" w14:paraId="25D56BC2" w14:textId="77777777">
            <w:pPr>
              <w:jc w:val="both"/>
              <w:rPr>
                <w:rFonts w:ascii="Calibri" w:hAnsi="Calibri" w:eastAsia="Calibri" w:cs="Calibri"/>
                <w:b/>
                <w:color w:val="auto"/>
                <w:sz w:val="24"/>
                <w:szCs w:val="24"/>
              </w:rPr>
            </w:pPr>
            <w:r w:rsidRPr="00754EE3">
              <w:rPr>
                <w:rFonts w:ascii="Calibri" w:hAnsi="Calibri" w:eastAsia="Calibri" w:cs="Calibri"/>
                <w:b/>
                <w:color w:val="auto"/>
                <w:sz w:val="24"/>
                <w:szCs w:val="24"/>
              </w:rPr>
              <w:t>APPLIES TO:</w:t>
            </w:r>
          </w:p>
        </w:tc>
        <w:tc>
          <w:tcPr>
            <w:tcW w:w="8380" w:type="dxa"/>
            <w:tcMar/>
          </w:tcPr>
          <w:p w:rsidRPr="00754EE3" w:rsidR="00754EE3" w:rsidP="006348E5" w:rsidRDefault="00754EE3" w14:paraId="0793C10E" w14:textId="437F3FDF">
            <w:pPr>
              <w:rPr>
                <w:rFonts w:ascii="Calibri" w:hAnsi="Calibri" w:eastAsia="Calibri" w:cs="Calibri"/>
                <w:color w:val="auto"/>
                <w:sz w:val="24"/>
                <w:szCs w:val="24"/>
              </w:rPr>
            </w:pPr>
            <w:r w:rsidRPr="2CE6D0A9" w:rsidR="00754EE3">
              <w:rPr>
                <w:rFonts w:ascii="Calibri" w:hAnsi="Calibri" w:eastAsia="Calibri" w:cs="Calibri"/>
                <w:color w:val="auto"/>
                <w:sz w:val="24"/>
                <w:szCs w:val="24"/>
              </w:rPr>
              <w:t>All Clinical Staff at Caregiver Grove Behavioral Health</w:t>
            </w:r>
          </w:p>
        </w:tc>
      </w:tr>
      <w:tr w:rsidRPr="00754EE3" w:rsidR="00754EE3" w:rsidTr="61506038" w14:paraId="6557A146" w14:textId="77777777">
        <w:trPr>
          <w:trHeight w:val="490"/>
        </w:trPr>
        <w:tc>
          <w:tcPr>
            <w:tcW w:w="2325" w:type="dxa"/>
            <w:tcMar/>
          </w:tcPr>
          <w:p w:rsidRPr="00754EE3" w:rsidR="00754EE3" w:rsidP="006348E5" w:rsidRDefault="00754EE3" w14:paraId="28BA5174" w14:textId="77777777">
            <w:pPr>
              <w:jc w:val="both"/>
              <w:rPr>
                <w:rFonts w:ascii="Calibri" w:hAnsi="Calibri" w:eastAsia="Calibri" w:cs="Calibri"/>
                <w:b/>
                <w:color w:val="auto"/>
                <w:sz w:val="24"/>
                <w:szCs w:val="24"/>
              </w:rPr>
            </w:pPr>
            <w:r w:rsidRPr="00754EE3">
              <w:rPr>
                <w:rFonts w:ascii="Calibri" w:hAnsi="Calibri" w:eastAsia="Calibri" w:cs="Calibri"/>
                <w:b/>
                <w:color w:val="auto"/>
                <w:sz w:val="24"/>
                <w:szCs w:val="24"/>
              </w:rPr>
              <w:t>EFFECTIVE DATE:</w:t>
            </w:r>
          </w:p>
        </w:tc>
        <w:tc>
          <w:tcPr>
            <w:tcW w:w="8380" w:type="dxa"/>
            <w:tcMar/>
          </w:tcPr>
          <w:p w:rsidRPr="00754EE3" w:rsidR="00754EE3" w:rsidP="65814C2E" w:rsidRDefault="00754EE3" w14:paraId="0ED39068" w14:textId="20C17991">
            <w:pPr>
              <w:widowControl w:val="0"/>
              <w:spacing w:before="0" w:line="288" w:lineRule="auto"/>
              <w:ind w:left="0"/>
              <w:rPr>
                <w:noProof w:val="0"/>
                <w:lang w:val="en-US"/>
              </w:rPr>
            </w:pPr>
            <w:r w:rsidRPr="2CE6D0A9" w:rsidR="2F13693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December 1, 2018 </w:t>
            </w:r>
          </w:p>
        </w:tc>
      </w:tr>
      <w:tr w:rsidRPr="00754EE3" w:rsidR="00754EE3" w:rsidTr="61506038" w14:paraId="44F86498" w14:textId="77777777">
        <w:trPr>
          <w:trHeight w:val="750"/>
        </w:trPr>
        <w:tc>
          <w:tcPr>
            <w:tcW w:w="2325" w:type="dxa"/>
            <w:tcMar/>
          </w:tcPr>
          <w:p w:rsidRPr="00754EE3" w:rsidR="00754EE3" w:rsidP="006348E5" w:rsidRDefault="00754EE3" w14:paraId="6DD2DCCF" w14:textId="77777777">
            <w:pPr>
              <w:pBdr>
                <w:top w:val="nil"/>
                <w:left w:val="nil"/>
                <w:bottom w:val="nil"/>
                <w:right w:val="nil"/>
                <w:between w:val="nil"/>
              </w:pBdr>
              <w:rPr>
                <w:rFonts w:ascii="Calibri" w:hAnsi="Calibri" w:eastAsia="Calibri" w:cs="Calibri"/>
                <w:b/>
                <w:color w:val="auto"/>
                <w:sz w:val="24"/>
                <w:szCs w:val="24"/>
              </w:rPr>
            </w:pPr>
            <w:r w:rsidRPr="00754EE3">
              <w:rPr>
                <w:rFonts w:ascii="Calibri" w:hAnsi="Calibri" w:eastAsia="Calibri" w:cs="Calibri"/>
                <w:b/>
                <w:color w:val="auto"/>
                <w:sz w:val="24"/>
                <w:szCs w:val="24"/>
              </w:rPr>
              <w:t>ANNUAL</w:t>
            </w:r>
          </w:p>
          <w:p w:rsidRPr="00754EE3" w:rsidR="00754EE3" w:rsidP="2CE6D0A9" w:rsidRDefault="00754EE3" w14:paraId="0AEA4F97" w14:textId="7A16C934">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b w:val="1"/>
                <w:bCs w:val="1"/>
                <w:color w:val="auto"/>
                <w:sz w:val="24"/>
                <w:szCs w:val="24"/>
              </w:rPr>
            </w:pPr>
            <w:r w:rsidRPr="2CE6D0A9" w:rsidR="00754EE3">
              <w:rPr>
                <w:rFonts w:ascii="Calibri" w:hAnsi="Calibri" w:eastAsia="Calibri" w:cs="Calibri"/>
                <w:b w:val="1"/>
                <w:bCs w:val="1"/>
                <w:color w:val="auto"/>
                <w:sz w:val="24"/>
                <w:szCs w:val="24"/>
              </w:rPr>
              <w:t>REVIEW DATE:</w:t>
            </w:r>
          </w:p>
        </w:tc>
        <w:tc>
          <w:tcPr>
            <w:tcW w:w="8380" w:type="dxa"/>
            <w:tcMar/>
          </w:tcPr>
          <w:p w:rsidRPr="00754EE3" w:rsidR="00754EE3" w:rsidP="2CE6D0A9" w:rsidRDefault="00754EE3" w14:paraId="59FC0010" w14:textId="52BD483E">
            <w:pPr>
              <w:pStyle w:val="TableParagraph"/>
              <w:spacing w:before="0"/>
              <w:ind w:left="0" w:right="2239"/>
              <w:rPr>
                <w:rFonts w:ascii="Calibri" w:hAnsi="Calibri" w:eastAsia="Calibri" w:cs="Calibri"/>
                <w:color w:val="000000" w:themeColor="text1"/>
                <w:sz w:val="24"/>
                <w:szCs w:val="24"/>
              </w:rPr>
            </w:pPr>
            <w:r w:rsidRPr="2CE6D0A9" w:rsidR="00754EE3">
              <w:rPr>
                <w:rFonts w:ascii="Calibri" w:hAnsi="Calibri" w:eastAsia="Calibri" w:cs="Calibri"/>
                <w:color w:val="000000" w:themeColor="text1" w:themeTint="FF" w:themeShade="FF"/>
                <w:sz w:val="24"/>
                <w:szCs w:val="24"/>
              </w:rPr>
              <w:t>J</w:t>
            </w:r>
            <w:r w:rsidRPr="2CE6D0A9" w:rsidR="6A543EE0">
              <w:rPr>
                <w:rFonts w:ascii="Calibri" w:hAnsi="Calibri" w:eastAsia="Calibri" w:cs="Calibri"/>
                <w:color w:val="000000" w:themeColor="text1" w:themeTint="FF" w:themeShade="FF"/>
                <w:sz w:val="24"/>
                <w:szCs w:val="24"/>
              </w:rPr>
              <w:t xml:space="preserve">anuary </w:t>
            </w:r>
            <w:r w:rsidRPr="2CE6D0A9" w:rsidR="00754EE3">
              <w:rPr>
                <w:rFonts w:ascii="Calibri" w:hAnsi="Calibri" w:eastAsia="Calibri" w:cs="Calibri"/>
                <w:color w:val="000000" w:themeColor="text1" w:themeTint="FF" w:themeShade="FF"/>
                <w:sz w:val="24"/>
                <w:szCs w:val="24"/>
              </w:rPr>
              <w:t xml:space="preserve">1 (each calendar year) </w:t>
            </w:r>
          </w:p>
          <w:p w:rsidRPr="00754EE3" w:rsidR="00754EE3" w:rsidP="2CE6D0A9" w:rsidRDefault="00754EE3" w14:paraId="66DCF037" w14:textId="67715852">
            <w:pPr>
              <w:pStyle w:val="TableParagraph"/>
              <w:spacing w:before="0"/>
              <w:ind w:left="0" w:right="2239"/>
              <w:rPr>
                <w:rFonts w:ascii="Calibri" w:hAnsi="Calibri" w:eastAsia="Calibri" w:cs="Calibri"/>
                <w:color w:val="000000" w:themeColor="text1"/>
                <w:sz w:val="24"/>
                <w:szCs w:val="24"/>
              </w:rPr>
            </w:pPr>
            <w:r w:rsidRPr="2CE6D0A9" w:rsidR="07D821ED">
              <w:rPr>
                <w:rFonts w:ascii="Calibri" w:hAnsi="Calibri" w:eastAsia="Calibri" w:cs="Calibri"/>
                <w:color w:val="000000" w:themeColor="text1" w:themeTint="FF" w:themeShade="FF"/>
                <w:sz w:val="24"/>
                <w:szCs w:val="24"/>
              </w:rPr>
              <w:t>Updated: July 26, 2024</w:t>
            </w:r>
          </w:p>
        </w:tc>
      </w:tr>
      <w:tr w:rsidRPr="00754EE3" w:rsidR="00754EE3" w:rsidTr="61506038" w14:paraId="23B10091" w14:textId="77777777">
        <w:trPr>
          <w:trHeight w:val="720"/>
        </w:trPr>
        <w:tc>
          <w:tcPr>
            <w:tcW w:w="2325" w:type="dxa"/>
            <w:tcMar/>
          </w:tcPr>
          <w:p w:rsidRPr="00754EE3" w:rsidR="00754EE3" w:rsidP="006348E5" w:rsidRDefault="00754EE3" w14:paraId="0837E34E" w14:textId="77777777">
            <w:pPr>
              <w:jc w:val="both"/>
              <w:rPr>
                <w:rFonts w:ascii="Calibri" w:hAnsi="Calibri" w:eastAsia="Calibri" w:cs="Calibri"/>
                <w:b/>
                <w:color w:val="auto"/>
                <w:sz w:val="24"/>
                <w:szCs w:val="24"/>
              </w:rPr>
            </w:pPr>
            <w:r w:rsidRPr="00754EE3">
              <w:rPr>
                <w:rFonts w:ascii="Calibri" w:hAnsi="Calibri" w:eastAsia="Calibri" w:cs="Calibri"/>
                <w:b/>
                <w:color w:val="auto"/>
                <w:sz w:val="24"/>
                <w:szCs w:val="24"/>
              </w:rPr>
              <w:t>PURPOSE:</w:t>
            </w:r>
          </w:p>
        </w:tc>
        <w:tc>
          <w:tcPr>
            <w:tcW w:w="8380" w:type="dxa"/>
            <w:tcMar/>
          </w:tcPr>
          <w:p w:rsidRPr="00754EE3" w:rsidR="00754EE3" w:rsidP="2CE6D0A9" w:rsidRDefault="00754EE3" w14:paraId="6317D0C5" w14:textId="1EC8151C">
            <w:pPr>
              <w:pStyle w:val="TableParagraph"/>
              <w:spacing w:before="272"/>
              <w:ind w:left="0" w:right="49"/>
              <w:jc w:val="both"/>
              <w:rPr>
                <w:rFonts w:ascii="Calibri" w:hAnsi="Calibri" w:cs="Calibri"/>
                <w:sz w:val="24"/>
                <w:szCs w:val="24"/>
              </w:rPr>
            </w:pPr>
            <w:r w:rsidRPr="2CE6D0A9" w:rsidR="00754EE3">
              <w:rPr>
                <w:rFonts w:ascii="Calibri" w:hAnsi="Calibri" w:eastAsia="Calibri" w:cs="Calibri"/>
                <w:color w:val="000000" w:themeColor="text1" w:themeTint="FF" w:themeShade="FF"/>
                <w:sz w:val="24"/>
                <w:szCs w:val="24"/>
              </w:rPr>
              <w:t xml:space="preserve">The purpose of Caregiver Grove Behavioral Health’s </w:t>
            </w:r>
            <w:r w:rsidRPr="2CE6D0A9" w:rsidR="00754EE3">
              <w:rPr>
                <w:rFonts w:ascii="Calibri" w:hAnsi="Calibri" w:eastAsia="Calibri" w:cs="Calibri"/>
                <w:color w:val="000000" w:themeColor="text1" w:themeTint="FF" w:themeShade="FF"/>
                <w:sz w:val="24"/>
                <w:szCs w:val="24"/>
              </w:rPr>
              <w:t xml:space="preserve">Privacy Regulations </w:t>
            </w:r>
            <w:r w:rsidRPr="2CE6D0A9" w:rsidR="004050B2">
              <w:rPr>
                <w:rFonts w:ascii="Calibri" w:hAnsi="Calibri" w:eastAsia="Calibri" w:cs="Calibri"/>
                <w:color w:val="000000" w:themeColor="text1" w:themeTint="FF" w:themeShade="FF"/>
                <w:sz w:val="24"/>
                <w:szCs w:val="24"/>
              </w:rPr>
              <w:t>R</w:t>
            </w:r>
            <w:r w:rsidRPr="2CE6D0A9" w:rsidR="00754EE3">
              <w:rPr>
                <w:rFonts w:ascii="Calibri" w:hAnsi="Calibri" w:eastAsia="Calibri" w:cs="Calibri"/>
                <w:color w:val="000000" w:themeColor="text1" w:themeTint="FF" w:themeShade="FF"/>
                <w:sz w:val="24"/>
                <w:szCs w:val="24"/>
              </w:rPr>
              <w:t>elated to Clients Rights and Grievances</w:t>
            </w:r>
            <w:r w:rsidRPr="2CE6D0A9" w:rsidR="004050B2">
              <w:rPr>
                <w:rFonts w:ascii="Calibri" w:hAnsi="Calibri" w:eastAsia="Calibri" w:cs="Calibri"/>
                <w:color w:val="000000" w:themeColor="text1" w:themeTint="FF" w:themeShade="FF"/>
                <w:sz w:val="24"/>
                <w:szCs w:val="24"/>
              </w:rPr>
              <w:t xml:space="preserve"> Policy</w:t>
            </w:r>
            <w:r w:rsidRPr="2CE6D0A9" w:rsidR="00754EE3">
              <w:rPr>
                <w:rFonts w:ascii="Calibri" w:hAnsi="Calibri" w:eastAsia="Calibri" w:cs="Calibri"/>
                <w:color w:val="000000" w:themeColor="text1" w:themeTint="FF" w:themeShade="FF"/>
                <w:sz w:val="24"/>
                <w:szCs w:val="24"/>
              </w:rPr>
              <w:t xml:space="preserve"> is to </w:t>
            </w:r>
            <w:r w:rsidRPr="2CE6D0A9" w:rsidR="00754EE3">
              <w:rPr>
                <w:rFonts w:ascii="Calibri" w:hAnsi="Calibri" w:eastAsia="Calibri" w:cs="Calibri"/>
                <w:color w:val="000000" w:themeColor="text1" w:themeTint="FF" w:themeShade="FF"/>
                <w:sz w:val="24"/>
                <w:szCs w:val="24"/>
              </w:rPr>
              <w:t>maintain</w:t>
            </w:r>
            <w:r w:rsidRPr="2CE6D0A9" w:rsidR="00754EE3">
              <w:rPr>
                <w:rFonts w:ascii="Calibri" w:hAnsi="Calibri" w:eastAsia="Calibri" w:cs="Calibri"/>
                <w:color w:val="000000" w:themeColor="text1" w:themeTint="FF" w:themeShade="FF"/>
                <w:sz w:val="24"/>
                <w:szCs w:val="24"/>
              </w:rPr>
              <w:t xml:space="preserve"> the privacy and confidentiality related to the client’s rights.</w:t>
            </w:r>
            <w:r w:rsidRPr="2CE6D0A9" w:rsidR="00754EE3">
              <w:rPr>
                <w:rFonts w:ascii="Calibri" w:hAnsi="Calibri" w:eastAsia="Calibri" w:cs="Calibri"/>
                <w:color w:val="000000" w:themeColor="text1" w:themeTint="FF" w:themeShade="FF"/>
                <w:sz w:val="24"/>
                <w:szCs w:val="24"/>
              </w:rPr>
              <w:t xml:space="preserve"> </w:t>
            </w:r>
          </w:p>
        </w:tc>
      </w:tr>
      <w:tr w:rsidRPr="00754EE3" w:rsidR="00754EE3" w:rsidTr="61506038" w14:paraId="69A6E710" w14:textId="77777777">
        <w:trPr>
          <w:trHeight w:val="420"/>
        </w:trPr>
        <w:tc>
          <w:tcPr>
            <w:tcW w:w="2325" w:type="dxa"/>
            <w:tcMar/>
          </w:tcPr>
          <w:p w:rsidRPr="00754EE3" w:rsidR="00754EE3" w:rsidP="006348E5" w:rsidRDefault="00754EE3" w14:paraId="586F7CD6" w14:textId="77777777">
            <w:pPr>
              <w:jc w:val="both"/>
              <w:rPr>
                <w:rFonts w:ascii="Calibri" w:hAnsi="Calibri" w:eastAsia="Calibri" w:cs="Calibri"/>
                <w:b/>
                <w:color w:val="auto"/>
                <w:sz w:val="24"/>
                <w:szCs w:val="24"/>
              </w:rPr>
            </w:pPr>
            <w:r w:rsidRPr="00754EE3">
              <w:rPr>
                <w:rFonts w:ascii="Calibri" w:hAnsi="Calibri" w:eastAsia="Calibri" w:cs="Calibri"/>
                <w:b/>
                <w:color w:val="auto"/>
                <w:sz w:val="24"/>
                <w:szCs w:val="24"/>
              </w:rPr>
              <w:t>DEFINITION:</w:t>
            </w:r>
          </w:p>
        </w:tc>
        <w:tc>
          <w:tcPr>
            <w:tcW w:w="8380" w:type="dxa"/>
            <w:tcMar/>
          </w:tcPr>
          <w:p w:rsidRPr="00754EE3" w:rsidR="00754EE3" w:rsidP="2CE6D0A9" w:rsidRDefault="00754EE3" w14:paraId="4815067E" w14:textId="03B0CD66">
            <w:pPr>
              <w:pStyle w:val="TableParagraph"/>
              <w:ind w:left="0" w:right="49"/>
              <w:jc w:val="both"/>
              <w:rPr>
                <w:rFonts w:ascii="Calibri" w:hAnsi="Calibri" w:eastAsia="Calibri" w:cs="Calibri"/>
                <w:sz w:val="24"/>
                <w:szCs w:val="24"/>
              </w:rPr>
            </w:pPr>
            <w:r w:rsidRPr="2CE6D0A9" w:rsidR="00754EE3">
              <w:rPr>
                <w:rFonts w:ascii="Calibri" w:hAnsi="Calibri" w:eastAsia="Calibri" w:cs="Calibri"/>
                <w:color w:val="000000" w:themeColor="text1" w:themeTint="FF" w:themeShade="FF"/>
                <w:sz w:val="24"/>
                <w:szCs w:val="24"/>
              </w:rPr>
              <w:t>Caregiver Grove Behavioral Health</w:t>
            </w:r>
            <w:r w:rsidRPr="2CE6D0A9" w:rsidR="004050B2">
              <w:rPr>
                <w:rFonts w:ascii="Calibri" w:hAnsi="Calibri" w:eastAsia="Calibri" w:cs="Calibri"/>
                <w:color w:val="000000" w:themeColor="text1" w:themeTint="FF" w:themeShade="FF"/>
                <w:sz w:val="24"/>
                <w:szCs w:val="24"/>
              </w:rPr>
              <w:t>’s</w:t>
            </w:r>
            <w:r w:rsidRPr="2CE6D0A9" w:rsidR="00754EE3">
              <w:rPr>
                <w:rFonts w:ascii="Calibri" w:hAnsi="Calibri" w:eastAsia="Calibri" w:cs="Calibri"/>
                <w:color w:val="000000" w:themeColor="text1" w:themeTint="FF" w:themeShade="FF"/>
                <w:sz w:val="24"/>
                <w:szCs w:val="24"/>
              </w:rPr>
              <w:t xml:space="preserve"> </w:t>
            </w:r>
            <w:r w:rsidRPr="2CE6D0A9" w:rsidR="004050B2">
              <w:rPr>
                <w:rFonts w:ascii="Calibri" w:hAnsi="Calibri" w:eastAsia="Calibri" w:cs="Calibri"/>
                <w:color w:val="000000" w:themeColor="text1" w:themeTint="FF" w:themeShade="FF"/>
                <w:sz w:val="24"/>
                <w:szCs w:val="24"/>
              </w:rPr>
              <w:t>Privacy Regulations Related to Clients Rights and Grievances Policy</w:t>
            </w:r>
            <w:r w:rsidRPr="2CE6D0A9" w:rsidR="00754EE3">
              <w:rPr>
                <w:rFonts w:ascii="Calibri" w:hAnsi="Calibri" w:eastAsia="Calibri" w:cs="Calibri"/>
                <w:color w:val="000000" w:themeColor="text1" w:themeTint="FF" w:themeShade="FF"/>
                <w:sz w:val="24"/>
                <w:szCs w:val="24"/>
              </w:rPr>
              <w:t xml:space="preserve"> ensures that </w:t>
            </w:r>
            <w:r w:rsidRPr="2CE6D0A9" w:rsidR="004050B2">
              <w:rPr>
                <w:rFonts w:ascii="Calibri" w:hAnsi="Calibri" w:eastAsia="Calibri" w:cs="Calibri"/>
                <w:color w:val="000000" w:themeColor="text1" w:themeTint="FF" w:themeShade="FF"/>
                <w:sz w:val="24"/>
                <w:szCs w:val="24"/>
              </w:rPr>
              <w:t>our clients’ privacy is protected and secured as it relates to Client Rights and Grievances.</w:t>
            </w:r>
          </w:p>
        </w:tc>
      </w:tr>
      <w:tr w:rsidRPr="00754EE3" w:rsidR="00754EE3" w:rsidTr="61506038" w14:paraId="025775B3" w14:textId="77777777">
        <w:trPr>
          <w:trHeight w:val="490"/>
        </w:trPr>
        <w:tc>
          <w:tcPr>
            <w:tcW w:w="2325" w:type="dxa"/>
            <w:tcMar/>
          </w:tcPr>
          <w:p w:rsidRPr="00754EE3" w:rsidR="00754EE3" w:rsidP="006348E5" w:rsidRDefault="00754EE3" w14:paraId="42FB421B" w14:textId="77777777">
            <w:pPr>
              <w:jc w:val="both"/>
              <w:rPr>
                <w:rFonts w:ascii="Calibri" w:hAnsi="Calibri" w:eastAsia="Calibri" w:cs="Calibri"/>
                <w:b/>
                <w:bCs/>
                <w:color w:val="auto"/>
                <w:sz w:val="24"/>
                <w:szCs w:val="24"/>
              </w:rPr>
            </w:pPr>
            <w:r w:rsidRPr="00754EE3">
              <w:rPr>
                <w:rFonts w:ascii="Calibri" w:hAnsi="Calibri" w:eastAsia="Calibri" w:cs="Calibri"/>
                <w:b/>
                <w:bCs/>
                <w:color w:val="auto"/>
                <w:sz w:val="24"/>
                <w:szCs w:val="24"/>
              </w:rPr>
              <w:t>POLICY</w:t>
            </w:r>
          </w:p>
        </w:tc>
        <w:tc>
          <w:tcPr>
            <w:tcW w:w="8380" w:type="dxa"/>
            <w:tcMar/>
          </w:tcPr>
          <w:p w:rsidRPr="00754EE3" w:rsidR="00754EE3" w:rsidP="2CE6D0A9" w:rsidRDefault="00754EE3" w14:paraId="3C23D1DD" w14:textId="7A677F60">
            <w:pPr>
              <w:widowControl w:val="0"/>
              <w:spacing w:line="259" w:lineRule="auto"/>
              <w:ind w:left="0" w:right="117"/>
              <w:jc w:val="both"/>
              <w:rPr>
                <w:rFonts w:ascii="Calibri" w:hAnsi="Calibri" w:eastAsia="Abadi" w:cs="Calibri"/>
                <w:color w:val="000000" w:themeColor="text1"/>
                <w:sz w:val="24"/>
                <w:szCs w:val="24"/>
              </w:rPr>
            </w:pPr>
            <w:r w:rsidRPr="2CE6D0A9" w:rsidR="00754EE3">
              <w:rPr>
                <w:rFonts w:ascii="Calibri" w:hAnsi="Calibri" w:eastAsia="Abadi" w:cs="Calibri"/>
                <w:color w:val="000000" w:themeColor="text1" w:themeTint="FF" w:themeShade="FF"/>
                <w:sz w:val="24"/>
                <w:szCs w:val="24"/>
              </w:rPr>
              <w:t xml:space="preserve">The purpose of </w:t>
            </w:r>
            <w:r w:rsidRPr="2CE6D0A9" w:rsidR="00B87659">
              <w:rPr>
                <w:rFonts w:ascii="Calibri" w:hAnsi="Calibri" w:eastAsia="Calibri" w:cs="Calibri"/>
                <w:color w:val="000000" w:themeColor="text1" w:themeTint="FF" w:themeShade="FF"/>
                <w:sz w:val="24"/>
                <w:szCs w:val="24"/>
              </w:rPr>
              <w:t>Caregiver Grove Behavioral Health</w:t>
            </w:r>
            <w:r w:rsidRPr="2CE6D0A9" w:rsidR="00B87659">
              <w:rPr>
                <w:rFonts w:ascii="Calibri" w:hAnsi="Calibri" w:eastAsia="Calibri" w:cs="Calibri"/>
                <w:color w:val="000000" w:themeColor="text1" w:themeTint="FF" w:themeShade="FF"/>
                <w:sz w:val="24"/>
                <w:szCs w:val="24"/>
              </w:rPr>
              <w:t>’s</w:t>
            </w:r>
            <w:r w:rsidRPr="2CE6D0A9" w:rsidR="00B87659">
              <w:rPr>
                <w:rFonts w:ascii="Calibri" w:hAnsi="Calibri" w:eastAsia="Calibri" w:cs="Calibri"/>
                <w:color w:val="000000" w:themeColor="text1" w:themeTint="FF" w:themeShade="FF"/>
                <w:sz w:val="24"/>
                <w:szCs w:val="24"/>
              </w:rPr>
              <w:t xml:space="preserve"> </w:t>
            </w:r>
            <w:r w:rsidRPr="2CE6D0A9" w:rsidR="00B87659">
              <w:rPr>
                <w:rFonts w:ascii="Calibri" w:hAnsi="Calibri" w:eastAsia="Calibri" w:cs="Calibri"/>
                <w:color w:val="000000" w:themeColor="text1" w:themeTint="FF" w:themeShade="FF"/>
                <w:sz w:val="24"/>
                <w:szCs w:val="24"/>
              </w:rPr>
              <w:t>Privacy Regulations Related to Clients Rights and Grievances Policy</w:t>
            </w:r>
            <w:r w:rsidRPr="2CE6D0A9" w:rsidR="00754EE3">
              <w:rPr>
                <w:rFonts w:ascii="Calibri" w:hAnsi="Calibri" w:eastAsia="Abadi" w:cs="Calibri"/>
                <w:color w:val="000000" w:themeColor="text1" w:themeTint="FF" w:themeShade="FF"/>
                <w:sz w:val="24"/>
                <w:szCs w:val="24"/>
              </w:rPr>
              <w:t xml:space="preserve"> is to </w:t>
            </w:r>
            <w:r w:rsidRPr="2CE6D0A9" w:rsidR="00754EE3">
              <w:rPr>
                <w:rFonts w:ascii="Calibri" w:hAnsi="Calibri" w:eastAsia="Abadi" w:cs="Calibri"/>
                <w:color w:val="000000" w:themeColor="text1" w:themeTint="FF" w:themeShade="FF"/>
                <w:sz w:val="24"/>
                <w:szCs w:val="24"/>
              </w:rPr>
              <w:t>maintain</w:t>
            </w:r>
            <w:r w:rsidRPr="2CE6D0A9" w:rsidR="00754EE3">
              <w:rPr>
                <w:rFonts w:ascii="Calibri" w:hAnsi="Calibri" w:eastAsia="Abadi" w:cs="Calibri"/>
                <w:color w:val="000000" w:themeColor="text1" w:themeTint="FF" w:themeShade="FF"/>
                <w:sz w:val="24"/>
                <w:szCs w:val="24"/>
              </w:rPr>
              <w:t xml:space="preserve"> the privacy and confidentiality related to the client’s rights.</w:t>
            </w:r>
          </w:p>
          <w:p w:rsidRPr="00754EE3" w:rsidR="00754EE3" w:rsidP="006348E5" w:rsidRDefault="00754EE3" w14:paraId="4536CCC6" w14:textId="0E943505">
            <w:pPr>
              <w:widowControl w:val="0"/>
              <w:spacing w:before="160" w:line="259" w:lineRule="auto"/>
              <w:ind w:left="119" w:right="119"/>
              <w:jc w:val="both"/>
              <w:rPr>
                <w:rFonts w:ascii="Calibri" w:hAnsi="Calibri" w:eastAsia="Abadi" w:cs="Calibri"/>
                <w:color w:val="000000" w:themeColor="text1"/>
                <w:sz w:val="24"/>
                <w:szCs w:val="24"/>
              </w:rPr>
            </w:pPr>
            <w:r w:rsidRPr="00754EE3">
              <w:rPr>
                <w:rFonts w:ascii="Calibri" w:hAnsi="Calibri" w:eastAsia="Abadi" w:cs="Calibri"/>
                <w:b/>
                <w:bCs/>
                <w:color w:val="000000" w:themeColor="text1"/>
                <w:sz w:val="24"/>
                <w:szCs w:val="24"/>
              </w:rPr>
              <w:t xml:space="preserve">Policy: </w:t>
            </w:r>
            <w:r w:rsidRPr="00754EE3">
              <w:rPr>
                <w:rFonts w:ascii="Calibri" w:hAnsi="Calibri" w:eastAsia="Abadi" w:cs="Calibri"/>
                <w:color w:val="000000" w:themeColor="text1"/>
                <w:sz w:val="24"/>
                <w:szCs w:val="24"/>
              </w:rPr>
              <w:t xml:space="preserve">Caregiver Grove Behavioral Health </w:t>
            </w:r>
            <w:r w:rsidR="00B87659">
              <w:rPr>
                <w:rFonts w:ascii="Calibri" w:hAnsi="Calibri" w:eastAsia="Abadi" w:cs="Calibri"/>
                <w:color w:val="000000" w:themeColor="text1"/>
                <w:sz w:val="24"/>
                <w:szCs w:val="24"/>
              </w:rPr>
              <w:t>will</w:t>
            </w:r>
            <w:r w:rsidRPr="00754EE3">
              <w:rPr>
                <w:rFonts w:ascii="Calibri" w:hAnsi="Calibri" w:eastAsia="Abadi" w:cs="Calibri"/>
                <w:color w:val="000000" w:themeColor="text1"/>
                <w:sz w:val="24"/>
                <w:szCs w:val="24"/>
              </w:rPr>
              <w:t xml:space="preserve"> maintain </w:t>
            </w:r>
            <w:r w:rsidR="00B87659">
              <w:rPr>
                <w:rFonts w:ascii="Calibri" w:hAnsi="Calibri" w:eastAsia="Abadi" w:cs="Calibri"/>
                <w:color w:val="000000" w:themeColor="text1"/>
                <w:sz w:val="24"/>
                <w:szCs w:val="24"/>
              </w:rPr>
              <w:t>client</w:t>
            </w:r>
            <w:r w:rsidRPr="00754EE3">
              <w:rPr>
                <w:rFonts w:ascii="Calibri" w:hAnsi="Calibri" w:eastAsia="Abadi" w:cs="Calibri"/>
                <w:color w:val="000000" w:themeColor="text1"/>
                <w:sz w:val="24"/>
                <w:szCs w:val="24"/>
              </w:rPr>
              <w:t xml:space="preserve"> rights concerning confidentiality regulations and privacy practices. Caregiver Grove Behavioral Health will </w:t>
            </w:r>
            <w:r w:rsidR="00B87659">
              <w:rPr>
                <w:rFonts w:ascii="Calibri" w:hAnsi="Calibri" w:eastAsia="Abadi" w:cs="Calibri"/>
                <w:color w:val="000000" w:themeColor="text1"/>
                <w:sz w:val="24"/>
                <w:szCs w:val="24"/>
              </w:rPr>
              <w:t>always aim</w:t>
            </w:r>
            <w:r w:rsidRPr="00754EE3">
              <w:rPr>
                <w:rFonts w:ascii="Calibri" w:hAnsi="Calibri" w:eastAsia="Abadi" w:cs="Calibri"/>
                <w:color w:val="000000" w:themeColor="text1"/>
                <w:sz w:val="24"/>
                <w:szCs w:val="24"/>
              </w:rPr>
              <w:t xml:space="preserve"> to protect </w:t>
            </w:r>
            <w:r w:rsidR="00B87659">
              <w:rPr>
                <w:rFonts w:ascii="Calibri" w:hAnsi="Calibri" w:eastAsia="Abadi" w:cs="Calibri"/>
                <w:color w:val="000000" w:themeColor="text1"/>
                <w:sz w:val="24"/>
                <w:szCs w:val="24"/>
              </w:rPr>
              <w:t xml:space="preserve">the privacy of clients </w:t>
            </w:r>
            <w:r w:rsidRPr="00754EE3">
              <w:rPr>
                <w:rFonts w:ascii="Calibri" w:hAnsi="Calibri" w:eastAsia="Abadi" w:cs="Calibri"/>
                <w:color w:val="000000" w:themeColor="text1"/>
                <w:sz w:val="24"/>
                <w:szCs w:val="24"/>
              </w:rPr>
              <w:t>by following the guidelines in this policy.</w:t>
            </w:r>
          </w:p>
          <w:p w:rsidRPr="00754EE3" w:rsidR="00754EE3" w:rsidP="00537E93" w:rsidRDefault="00754EE3" w14:paraId="3CBEE354" w14:textId="5E31D6DE">
            <w:pPr>
              <w:widowControl w:val="0"/>
              <w:spacing w:before="160"/>
              <w:ind w:left="119"/>
              <w:rPr>
                <w:rFonts w:ascii="Calibri" w:hAnsi="Calibri" w:eastAsia="Abadi" w:cs="Calibri"/>
                <w:color w:val="000000" w:themeColor="text1"/>
                <w:sz w:val="24"/>
                <w:szCs w:val="24"/>
              </w:rPr>
            </w:pPr>
            <w:r w:rsidRPr="00754EE3">
              <w:rPr>
                <w:rFonts w:ascii="Calibri" w:hAnsi="Calibri" w:eastAsia="Abadi" w:cs="Calibri"/>
                <w:b/>
                <w:bCs/>
                <w:color w:val="000000" w:themeColor="text1"/>
                <w:sz w:val="24"/>
                <w:szCs w:val="24"/>
              </w:rPr>
              <w:t>Procedure</w:t>
            </w:r>
            <w:r w:rsidR="00537E93">
              <w:rPr>
                <w:rFonts w:ascii="Calibri" w:hAnsi="Calibri" w:eastAsia="Abadi" w:cs="Calibri"/>
                <w:color w:val="000000" w:themeColor="text1"/>
                <w:sz w:val="24"/>
                <w:szCs w:val="24"/>
              </w:rPr>
              <w:t xml:space="preserve">: </w:t>
            </w:r>
            <w:r w:rsidRPr="00754EE3">
              <w:rPr>
                <w:rFonts w:ascii="Calibri" w:hAnsi="Calibri" w:eastAsia="Abadi" w:cs="Calibri"/>
                <w:color w:val="000000" w:themeColor="text1"/>
                <w:sz w:val="24"/>
                <w:szCs w:val="24"/>
              </w:rPr>
              <w:t>Caregiver Grove Behavioral Health must treat the client’s authorized representative as a personal representative of a client if the individual, under applicable law, is authorized to act on the behalf of the client in making health care decisions. This includes any guardian or person who holds power of attorney.</w:t>
            </w:r>
          </w:p>
          <w:p w:rsidRPr="00754EE3" w:rsidR="00754EE3" w:rsidP="00754EE3" w:rsidRDefault="00754EE3" w14:paraId="0223D2E7" w14:textId="77777777">
            <w:pPr>
              <w:pStyle w:val="ListParagraph"/>
              <w:widowControl w:val="0"/>
              <w:numPr>
                <w:ilvl w:val="0"/>
                <w:numId w:val="10"/>
              </w:numPr>
              <w:tabs>
                <w:tab w:val="left" w:pos="1559"/>
              </w:tabs>
              <w:spacing w:after="0" w:line="240" w:lineRule="auto"/>
              <w:ind w:left="1559" w:right="201"/>
              <w:rPr>
                <w:rFonts w:ascii="Calibri" w:hAnsi="Calibri" w:eastAsia="Abadi" w:cs="Calibri"/>
                <w:color w:val="000000" w:themeColor="text1"/>
                <w:sz w:val="24"/>
                <w:szCs w:val="24"/>
              </w:rPr>
            </w:pPr>
            <w:r w:rsidRPr="00754EE3">
              <w:rPr>
                <w:rFonts w:ascii="Calibri" w:hAnsi="Calibri" w:eastAsia="Abadi" w:cs="Calibri"/>
                <w:color w:val="000000" w:themeColor="text1"/>
                <w:sz w:val="24"/>
                <w:szCs w:val="24"/>
              </w:rPr>
              <w:lastRenderedPageBreak/>
              <w:t>An authorized representative is defined as a person who has authority under applicable law to make decisions related to health care on behalf of an adult or an emancipated minor, or the parent, guardian or other person acting in loco parentis who is authorized under law to make health care decisions on behalf of a minor who is not emancipated.</w:t>
            </w:r>
          </w:p>
          <w:p w:rsidRPr="00754EE3" w:rsidR="00754EE3" w:rsidP="00754EE3" w:rsidRDefault="00754EE3" w14:paraId="335EA30A" w14:textId="77777777">
            <w:pPr>
              <w:pStyle w:val="ListParagraph"/>
              <w:widowControl w:val="0"/>
              <w:numPr>
                <w:ilvl w:val="0"/>
                <w:numId w:val="10"/>
              </w:numPr>
              <w:tabs>
                <w:tab w:val="left" w:pos="1559"/>
              </w:tabs>
              <w:spacing w:before="26" w:after="0" w:line="240" w:lineRule="auto"/>
              <w:ind w:left="1559" w:right="375"/>
              <w:rPr>
                <w:rFonts w:ascii="Calibri" w:hAnsi="Calibri" w:eastAsia="Abadi" w:cs="Calibri"/>
                <w:color w:val="000000" w:themeColor="text1"/>
                <w:sz w:val="24"/>
                <w:szCs w:val="24"/>
              </w:rPr>
            </w:pPr>
            <w:r w:rsidRPr="00754EE3">
              <w:rPr>
                <w:rFonts w:ascii="Calibri" w:hAnsi="Calibri" w:eastAsia="Abadi" w:cs="Calibri"/>
                <w:color w:val="000000" w:themeColor="text1"/>
                <w:sz w:val="24"/>
                <w:szCs w:val="24"/>
              </w:rPr>
              <w:t>Caregiver Grove Behavioral Health must treat the authorized representative as the client only to the extent that PHI is relevant to the matters on which the authorized representative is authorized to represent the client.</w:t>
            </w:r>
          </w:p>
          <w:p w:rsidR="00754EE3" w:rsidP="006348E5" w:rsidRDefault="00754EE3" w14:paraId="6486998D" w14:textId="4DA2C00E">
            <w:pPr>
              <w:pStyle w:val="ListParagraph"/>
              <w:widowControl w:val="0"/>
              <w:numPr>
                <w:ilvl w:val="0"/>
                <w:numId w:val="10"/>
              </w:numPr>
              <w:tabs>
                <w:tab w:val="left" w:pos="1559"/>
              </w:tabs>
              <w:spacing w:before="29" w:after="0" w:line="240" w:lineRule="auto"/>
              <w:ind w:left="1559" w:right="261"/>
              <w:rPr>
                <w:rFonts w:ascii="Calibri" w:hAnsi="Calibri" w:eastAsia="Abadi" w:cs="Calibri"/>
                <w:color w:val="000000" w:themeColor="text1"/>
                <w:sz w:val="24"/>
                <w:szCs w:val="24"/>
              </w:rPr>
            </w:pPr>
            <w:r w:rsidRPr="00754EE3">
              <w:rPr>
                <w:rFonts w:ascii="Calibri" w:hAnsi="Calibri" w:eastAsia="Abadi" w:cs="Calibri"/>
                <w:color w:val="000000" w:themeColor="text1"/>
                <w:sz w:val="24"/>
                <w:szCs w:val="24"/>
              </w:rPr>
              <w:t>Caregiver Grove Behavioral Health may elect not to treat a person as an authorized representative, if in the exercise of professional judgment, it decides that it is not in the best interest of the client to treat the person as the client’s authorized representative (i.e., if there is reasonable belief that the client has been or may be subjected to domestic violence, abuse, or neglect by such person, or that treating such person as the authorized representative could endanger the client.</w:t>
            </w:r>
          </w:p>
          <w:p w:rsidRPr="00B87659" w:rsidR="004529D4" w:rsidP="004529D4" w:rsidRDefault="004529D4" w14:paraId="416C7CA1" w14:textId="77777777">
            <w:pPr>
              <w:pStyle w:val="ListParagraph"/>
              <w:widowControl w:val="0"/>
              <w:tabs>
                <w:tab w:val="left" w:pos="1559"/>
              </w:tabs>
              <w:spacing w:before="29" w:after="0" w:line="240" w:lineRule="auto"/>
              <w:ind w:left="1559" w:right="261"/>
              <w:rPr>
                <w:rFonts w:ascii="Calibri" w:hAnsi="Calibri" w:eastAsia="Abadi" w:cs="Calibri"/>
                <w:color w:val="000000" w:themeColor="text1"/>
                <w:sz w:val="24"/>
                <w:szCs w:val="24"/>
              </w:rPr>
            </w:pPr>
          </w:p>
          <w:p w:rsidRPr="00754EE3" w:rsidR="00754EE3" w:rsidP="006348E5" w:rsidRDefault="00754EE3" w14:paraId="1ABD9B3B" w14:textId="77777777">
            <w:pPr>
              <w:widowControl w:val="0"/>
              <w:ind w:left="119" w:right="241"/>
              <w:rPr>
                <w:rFonts w:ascii="Calibri" w:hAnsi="Calibri" w:eastAsia="Abadi" w:cs="Calibri"/>
                <w:color w:val="000000" w:themeColor="text1"/>
                <w:sz w:val="24"/>
                <w:szCs w:val="24"/>
              </w:rPr>
            </w:pPr>
            <w:r w:rsidRPr="00754EE3">
              <w:rPr>
                <w:rFonts w:ascii="Calibri" w:hAnsi="Calibri" w:eastAsia="Abadi" w:cs="Calibri"/>
                <w:color w:val="000000" w:themeColor="text1"/>
                <w:sz w:val="24"/>
                <w:szCs w:val="24"/>
              </w:rPr>
              <w:t>Caregiver Grove Behavioral Health must obtain the client or their authorized representative’s agreement to disclose PHI to the third parties involved in his/her care.</w:t>
            </w:r>
          </w:p>
          <w:p w:rsidRPr="00754EE3" w:rsidR="00754EE3" w:rsidP="00B87659" w:rsidRDefault="00754EE3" w14:paraId="42F21B25" w14:textId="77AEA669">
            <w:pPr>
              <w:widowControl w:val="0"/>
              <w:spacing w:before="79"/>
              <w:ind w:left="120" w:right="603"/>
              <w:jc w:val="both"/>
              <w:rPr>
                <w:rFonts w:ascii="Calibri" w:hAnsi="Calibri" w:eastAsia="Abadi" w:cs="Calibri"/>
                <w:color w:val="000000" w:themeColor="text1"/>
                <w:sz w:val="24"/>
                <w:szCs w:val="24"/>
              </w:rPr>
            </w:pPr>
            <w:r w:rsidRPr="00754EE3">
              <w:rPr>
                <w:rFonts w:ascii="Calibri" w:hAnsi="Calibri" w:eastAsia="Abadi" w:cs="Calibri"/>
                <w:color w:val="000000" w:themeColor="text1"/>
                <w:sz w:val="24"/>
                <w:szCs w:val="24"/>
              </w:rPr>
              <w:t>Caregiver Grove Behavioral Health must not assume that a client or their authorized representative’s agreement at one point in time to disclose PHI to a relative or another person assisting in the client’s care implies agreement to disclose PHI indefinitely in the future.</w:t>
            </w:r>
          </w:p>
          <w:p w:rsidRPr="00754EE3" w:rsidR="00754EE3" w:rsidP="006348E5" w:rsidRDefault="00754EE3" w14:paraId="5D083A46" w14:textId="77777777">
            <w:pPr>
              <w:widowControl w:val="0"/>
              <w:ind w:left="120" w:right="241"/>
              <w:rPr>
                <w:rFonts w:ascii="Calibri" w:hAnsi="Calibri" w:eastAsia="Abadi" w:cs="Calibri"/>
                <w:color w:val="000000" w:themeColor="text1"/>
                <w:sz w:val="24"/>
                <w:szCs w:val="24"/>
              </w:rPr>
            </w:pPr>
            <w:r w:rsidRPr="00754EE3">
              <w:rPr>
                <w:rFonts w:ascii="Calibri" w:hAnsi="Calibri" w:eastAsia="Abadi" w:cs="Calibri"/>
                <w:color w:val="000000" w:themeColor="text1"/>
                <w:sz w:val="24"/>
                <w:szCs w:val="24"/>
              </w:rPr>
              <w:t>Caregiver Grove Behavioral Health can release PHI to a client’s authorized representative or relatives upon the client’s death unless the client previously expressed his/her disagreement in disclosing this information.</w:t>
            </w:r>
          </w:p>
          <w:p w:rsidRPr="00754EE3" w:rsidR="00754EE3" w:rsidP="004529D4" w:rsidRDefault="00754EE3" w14:paraId="4F97D8A8" w14:textId="4EC4B402">
            <w:pPr>
              <w:widowControl w:val="0"/>
              <w:ind w:left="120"/>
              <w:rPr>
                <w:rFonts w:ascii="Calibri" w:hAnsi="Calibri" w:eastAsia="Abadi" w:cs="Calibri"/>
                <w:color w:val="000000" w:themeColor="text1"/>
                <w:sz w:val="24"/>
                <w:szCs w:val="24"/>
              </w:rPr>
            </w:pPr>
            <w:r w:rsidRPr="00754EE3">
              <w:rPr>
                <w:rFonts w:ascii="Calibri" w:hAnsi="Calibri" w:eastAsia="Abadi" w:cs="Calibri"/>
                <w:color w:val="000000" w:themeColor="text1"/>
                <w:sz w:val="24"/>
                <w:szCs w:val="24"/>
              </w:rPr>
              <w:t>With respect to minors who are not emancipated, the parent or legal guardian is treated as the authorized representative with respect to PHI.</w:t>
            </w:r>
          </w:p>
          <w:p w:rsidRPr="00754EE3" w:rsidR="00754EE3" w:rsidP="006348E5" w:rsidRDefault="00754EE3" w14:paraId="0F5F913B" w14:textId="77777777">
            <w:pPr>
              <w:widowControl w:val="0"/>
              <w:ind w:left="120" w:right="441"/>
              <w:jc w:val="both"/>
              <w:rPr>
                <w:rFonts w:ascii="Calibri" w:hAnsi="Calibri" w:eastAsia="Abadi" w:cs="Calibri"/>
                <w:color w:val="000000" w:themeColor="text1"/>
                <w:sz w:val="24"/>
                <w:szCs w:val="24"/>
              </w:rPr>
            </w:pPr>
            <w:r w:rsidRPr="00754EE3">
              <w:rPr>
                <w:rFonts w:ascii="Calibri" w:hAnsi="Calibri" w:eastAsia="Abadi" w:cs="Calibri"/>
                <w:color w:val="000000" w:themeColor="text1"/>
                <w:sz w:val="24"/>
                <w:szCs w:val="24"/>
              </w:rPr>
              <w:t>Clients have the option to request restrictions of the uses and disclosures of PHI for treatment, payment, or health care operations:</w:t>
            </w:r>
          </w:p>
          <w:p w:rsidRPr="00754EE3" w:rsidR="00754EE3" w:rsidP="00754EE3" w:rsidRDefault="00754EE3" w14:paraId="605342FF" w14:textId="77777777">
            <w:pPr>
              <w:pStyle w:val="ListParagraph"/>
              <w:widowControl w:val="0"/>
              <w:numPr>
                <w:ilvl w:val="0"/>
                <w:numId w:val="9"/>
              </w:numPr>
              <w:tabs>
                <w:tab w:val="left" w:pos="840"/>
              </w:tabs>
              <w:spacing w:after="0" w:line="240" w:lineRule="auto"/>
              <w:ind w:right="228"/>
              <w:jc w:val="both"/>
              <w:rPr>
                <w:rFonts w:ascii="Calibri" w:hAnsi="Calibri" w:eastAsia="Abadi" w:cs="Calibri"/>
                <w:color w:val="000000" w:themeColor="text1"/>
                <w:sz w:val="24"/>
                <w:szCs w:val="24"/>
              </w:rPr>
            </w:pPr>
            <w:r w:rsidRPr="00754EE3">
              <w:rPr>
                <w:rFonts w:ascii="Calibri" w:hAnsi="Calibri" w:eastAsia="Abadi" w:cs="Calibri"/>
                <w:color w:val="000000" w:themeColor="text1"/>
                <w:sz w:val="24"/>
                <w:szCs w:val="24"/>
              </w:rPr>
              <w:lastRenderedPageBreak/>
              <w:t>Caregiver Grove Behavioral Health will permit clients to request confidential communications of PHI about them. This applies to communications from Caregiver Grove Behavioral Health to the client and the insured.</w:t>
            </w:r>
          </w:p>
          <w:p w:rsidRPr="00754EE3" w:rsidR="00754EE3" w:rsidP="00754EE3" w:rsidRDefault="00754EE3" w14:paraId="753E242C" w14:textId="77777777">
            <w:pPr>
              <w:pStyle w:val="ListParagraph"/>
              <w:widowControl w:val="0"/>
              <w:numPr>
                <w:ilvl w:val="0"/>
                <w:numId w:val="9"/>
              </w:numPr>
              <w:tabs>
                <w:tab w:val="left" w:pos="840"/>
              </w:tabs>
              <w:spacing w:after="0" w:line="240" w:lineRule="auto"/>
              <w:ind w:right="530"/>
              <w:rPr>
                <w:rFonts w:ascii="Calibri" w:hAnsi="Calibri" w:eastAsia="Abadi" w:cs="Calibri"/>
                <w:color w:val="000000" w:themeColor="text1"/>
                <w:sz w:val="24"/>
                <w:szCs w:val="24"/>
              </w:rPr>
            </w:pPr>
            <w:r w:rsidRPr="00754EE3">
              <w:rPr>
                <w:rFonts w:ascii="Calibri" w:hAnsi="Calibri" w:eastAsia="Abadi" w:cs="Calibri"/>
                <w:color w:val="000000" w:themeColor="text1"/>
                <w:sz w:val="24"/>
                <w:szCs w:val="24"/>
              </w:rPr>
              <w:t>Clients may request alternative means of communication or alternative locations for communications to be made (i.e., preferred mailing address, alternate phone number).</w:t>
            </w:r>
          </w:p>
          <w:p w:rsidRPr="00754EE3" w:rsidR="00754EE3" w:rsidP="00754EE3" w:rsidRDefault="00754EE3" w14:paraId="6BFEAFA2" w14:textId="77777777">
            <w:pPr>
              <w:pStyle w:val="ListParagraph"/>
              <w:widowControl w:val="0"/>
              <w:numPr>
                <w:ilvl w:val="0"/>
                <w:numId w:val="9"/>
              </w:numPr>
              <w:tabs>
                <w:tab w:val="left" w:pos="840"/>
              </w:tabs>
              <w:spacing w:after="0" w:line="240" w:lineRule="auto"/>
              <w:ind w:right="356"/>
              <w:rPr>
                <w:rFonts w:ascii="Calibri" w:hAnsi="Calibri" w:eastAsia="Abadi" w:cs="Calibri"/>
                <w:color w:val="000000" w:themeColor="text1"/>
                <w:sz w:val="24"/>
                <w:szCs w:val="24"/>
              </w:rPr>
            </w:pPr>
            <w:r w:rsidRPr="00754EE3">
              <w:rPr>
                <w:rFonts w:ascii="Calibri" w:hAnsi="Calibri" w:eastAsia="Abadi" w:cs="Calibri"/>
                <w:color w:val="000000" w:themeColor="text1"/>
                <w:sz w:val="24"/>
                <w:szCs w:val="24"/>
              </w:rPr>
              <w:t>Caregiver Grove Behavioral Health must accommodate all reasonable requests made by a client requesting limitations of confidential communications of PHI, especially if the client states that disclosure of PHI could endanger the client.</w:t>
            </w:r>
          </w:p>
          <w:p w:rsidRPr="00754EE3" w:rsidR="00754EE3" w:rsidP="00754EE3" w:rsidRDefault="00754EE3" w14:paraId="24A4B93D" w14:textId="77777777">
            <w:pPr>
              <w:pStyle w:val="ListParagraph"/>
              <w:widowControl w:val="0"/>
              <w:numPr>
                <w:ilvl w:val="0"/>
                <w:numId w:val="9"/>
              </w:numPr>
              <w:tabs>
                <w:tab w:val="left" w:pos="840"/>
              </w:tabs>
              <w:spacing w:after="0" w:line="240" w:lineRule="auto"/>
              <w:ind w:right="176"/>
              <w:rPr>
                <w:rFonts w:ascii="Calibri" w:hAnsi="Calibri" w:eastAsia="Abadi" w:cs="Calibri"/>
                <w:color w:val="000000" w:themeColor="text1"/>
                <w:sz w:val="24"/>
                <w:szCs w:val="24"/>
              </w:rPr>
            </w:pPr>
            <w:r w:rsidRPr="00754EE3">
              <w:rPr>
                <w:rFonts w:ascii="Calibri" w:hAnsi="Calibri" w:eastAsia="Abadi" w:cs="Calibri"/>
                <w:color w:val="000000" w:themeColor="text1"/>
                <w:sz w:val="24"/>
                <w:szCs w:val="24"/>
              </w:rPr>
              <w:t>The reasonableness of such requests will be determined based on the administrative difficulty of complying with the request.</w:t>
            </w:r>
          </w:p>
          <w:p w:rsidRPr="00754EE3" w:rsidR="00754EE3" w:rsidP="00754EE3" w:rsidRDefault="00754EE3" w14:paraId="5E63157A" w14:textId="77777777">
            <w:pPr>
              <w:pStyle w:val="ListParagraph"/>
              <w:widowControl w:val="0"/>
              <w:numPr>
                <w:ilvl w:val="0"/>
                <w:numId w:val="9"/>
              </w:numPr>
              <w:tabs>
                <w:tab w:val="left" w:pos="840"/>
              </w:tabs>
              <w:spacing w:after="0" w:line="240" w:lineRule="auto"/>
              <w:ind w:right="164"/>
              <w:rPr>
                <w:rFonts w:ascii="Calibri" w:hAnsi="Calibri" w:eastAsia="Abadi" w:cs="Calibri"/>
                <w:color w:val="000000" w:themeColor="text1"/>
                <w:sz w:val="24"/>
                <w:szCs w:val="24"/>
              </w:rPr>
            </w:pPr>
            <w:r w:rsidRPr="00754EE3">
              <w:rPr>
                <w:rFonts w:ascii="Calibri" w:hAnsi="Calibri" w:eastAsia="Abadi" w:cs="Calibri"/>
                <w:color w:val="000000" w:themeColor="text1"/>
                <w:sz w:val="24"/>
                <w:szCs w:val="24"/>
              </w:rPr>
              <w:t>Caregiver Grove Behavioral Health cannot require the client to provide a reason for the request as a condition of accommodating the request.</w:t>
            </w:r>
          </w:p>
          <w:p w:rsidRPr="00754EE3" w:rsidR="00754EE3" w:rsidP="00754EE3" w:rsidRDefault="00754EE3" w14:paraId="1A3BCBA1" w14:textId="77777777">
            <w:pPr>
              <w:pStyle w:val="ListParagraph"/>
              <w:widowControl w:val="0"/>
              <w:numPr>
                <w:ilvl w:val="0"/>
                <w:numId w:val="9"/>
              </w:numPr>
              <w:tabs>
                <w:tab w:val="left" w:pos="840"/>
              </w:tabs>
              <w:spacing w:after="0" w:line="240" w:lineRule="auto"/>
              <w:ind w:right="385"/>
              <w:rPr>
                <w:rFonts w:ascii="Calibri" w:hAnsi="Calibri" w:eastAsia="Abadi" w:cs="Calibri"/>
                <w:color w:val="000000" w:themeColor="text1"/>
                <w:sz w:val="24"/>
                <w:szCs w:val="24"/>
              </w:rPr>
            </w:pPr>
            <w:r w:rsidRPr="00754EE3">
              <w:rPr>
                <w:rFonts w:ascii="Calibri" w:hAnsi="Calibri" w:eastAsia="Abadi" w:cs="Calibri"/>
                <w:color w:val="000000" w:themeColor="text1"/>
                <w:sz w:val="24"/>
                <w:szCs w:val="24"/>
              </w:rPr>
              <w:t>Caregiver Grove Behavioral Health may refuse to accommodate a request if the client has not provided information as to how billing activities, if applicable, will be handled or if the client has not specified an alternative address or method of contact.</w:t>
            </w:r>
          </w:p>
          <w:p w:rsidRPr="00754EE3" w:rsidR="00754EE3" w:rsidP="00754EE3" w:rsidRDefault="00754EE3" w14:paraId="02FF9EF5" w14:textId="77777777">
            <w:pPr>
              <w:pStyle w:val="ListParagraph"/>
              <w:widowControl w:val="0"/>
              <w:numPr>
                <w:ilvl w:val="0"/>
                <w:numId w:val="9"/>
              </w:numPr>
              <w:tabs>
                <w:tab w:val="left" w:pos="840"/>
              </w:tabs>
              <w:spacing w:after="0" w:line="240" w:lineRule="auto"/>
              <w:ind w:right="187"/>
              <w:rPr>
                <w:rFonts w:ascii="Calibri" w:hAnsi="Calibri" w:eastAsia="Abadi" w:cs="Calibri"/>
                <w:color w:val="000000" w:themeColor="text1"/>
                <w:sz w:val="24"/>
                <w:szCs w:val="24"/>
              </w:rPr>
            </w:pPr>
            <w:r w:rsidRPr="00754EE3">
              <w:rPr>
                <w:rFonts w:ascii="Calibri" w:hAnsi="Calibri" w:eastAsia="Abadi" w:cs="Calibri"/>
                <w:color w:val="000000" w:themeColor="text1"/>
                <w:sz w:val="24"/>
                <w:szCs w:val="24"/>
              </w:rPr>
              <w:t>The client has a right to receive a listing of all disclosures of any PHI for the previous six years:</w:t>
            </w:r>
          </w:p>
          <w:p w:rsidRPr="00754EE3" w:rsidR="00754EE3" w:rsidP="00754EE3" w:rsidRDefault="00754EE3" w14:paraId="2381CAB6" w14:textId="77777777">
            <w:pPr>
              <w:pStyle w:val="ListParagraph"/>
              <w:widowControl w:val="0"/>
              <w:numPr>
                <w:ilvl w:val="1"/>
                <w:numId w:val="9"/>
              </w:numPr>
              <w:tabs>
                <w:tab w:val="left" w:pos="1560"/>
              </w:tabs>
              <w:spacing w:before="1" w:after="0" w:line="240" w:lineRule="auto"/>
              <w:ind w:right="153"/>
              <w:rPr>
                <w:rFonts w:ascii="Calibri" w:hAnsi="Calibri" w:eastAsia="Abadi" w:cs="Calibri"/>
                <w:color w:val="000000" w:themeColor="text1"/>
                <w:sz w:val="24"/>
                <w:szCs w:val="24"/>
              </w:rPr>
            </w:pPr>
            <w:r w:rsidRPr="00754EE3">
              <w:rPr>
                <w:rFonts w:ascii="Calibri" w:hAnsi="Calibri" w:eastAsia="Abadi" w:cs="Calibri"/>
                <w:color w:val="000000" w:themeColor="text1"/>
                <w:sz w:val="24"/>
                <w:szCs w:val="24"/>
              </w:rPr>
              <w:t>This accounting of disclosures must be made available within 60 days of a written request.</w:t>
            </w:r>
          </w:p>
          <w:p w:rsidRPr="00B87659" w:rsidR="00754EE3" w:rsidP="006348E5" w:rsidRDefault="00754EE3" w14:paraId="554349DE" w14:textId="48F8F10C">
            <w:pPr>
              <w:pStyle w:val="ListParagraph"/>
              <w:widowControl w:val="0"/>
              <w:numPr>
                <w:ilvl w:val="1"/>
                <w:numId w:val="9"/>
              </w:numPr>
              <w:tabs>
                <w:tab w:val="left" w:pos="1560"/>
              </w:tabs>
              <w:spacing w:before="26" w:after="0" w:line="240" w:lineRule="auto"/>
              <w:rPr>
                <w:rFonts w:ascii="Calibri" w:hAnsi="Calibri" w:eastAsia="Abadi" w:cs="Calibri"/>
                <w:color w:val="000000" w:themeColor="text1"/>
                <w:sz w:val="24"/>
                <w:szCs w:val="24"/>
              </w:rPr>
            </w:pPr>
            <w:r w:rsidRPr="00754EE3">
              <w:rPr>
                <w:rFonts w:ascii="Calibri" w:hAnsi="Calibri" w:eastAsia="Abadi" w:cs="Calibri"/>
                <w:color w:val="000000" w:themeColor="text1"/>
                <w:sz w:val="24"/>
                <w:szCs w:val="24"/>
              </w:rPr>
              <w:t>The client is entitled to one free accounting per 12-month period.</w:t>
            </w:r>
          </w:p>
          <w:p w:rsidRPr="00754EE3" w:rsidR="00754EE3" w:rsidP="00B87659" w:rsidRDefault="00754EE3" w14:paraId="5E6FCEA5" w14:textId="0EBEECBA">
            <w:pPr>
              <w:widowControl w:val="0"/>
              <w:ind w:left="120"/>
              <w:rPr>
                <w:rFonts w:ascii="Calibri" w:hAnsi="Calibri" w:eastAsia="Abadi" w:cs="Calibri"/>
                <w:color w:val="000000" w:themeColor="text1"/>
                <w:sz w:val="24"/>
                <w:szCs w:val="24"/>
              </w:rPr>
            </w:pPr>
            <w:r w:rsidRPr="65814C2E" w:rsidR="00754EE3">
              <w:rPr>
                <w:rFonts w:ascii="Calibri" w:hAnsi="Calibri" w:eastAsia="Abadi" w:cs="Calibri"/>
                <w:color w:val="000000" w:themeColor="text1" w:themeTint="FF" w:themeShade="FF"/>
                <w:sz w:val="24"/>
                <w:szCs w:val="24"/>
              </w:rPr>
              <w:t xml:space="preserve">A client or their authorized representative who has a complaint </w:t>
            </w:r>
            <w:r w:rsidRPr="65814C2E" w:rsidR="00754EE3">
              <w:rPr>
                <w:rFonts w:ascii="Calibri" w:hAnsi="Calibri" w:eastAsia="Abadi" w:cs="Calibri"/>
                <w:color w:val="000000" w:themeColor="text1" w:themeTint="FF" w:themeShade="FF"/>
                <w:sz w:val="24"/>
                <w:szCs w:val="24"/>
              </w:rPr>
              <w:t>regarding</w:t>
            </w:r>
            <w:r w:rsidRPr="65814C2E" w:rsidR="00754EE3">
              <w:rPr>
                <w:rFonts w:ascii="Calibri" w:hAnsi="Calibri" w:eastAsia="Abadi" w:cs="Calibri"/>
                <w:color w:val="000000" w:themeColor="text1" w:themeTint="FF" w:themeShade="FF"/>
                <w:sz w:val="24"/>
                <w:szCs w:val="24"/>
              </w:rPr>
              <w:t xml:space="preserve"> Caregiver Grove Behavioral Health’s compliance with or policies or procedures related to the HIPAA privacy rule will be directed to the Privacy Officer. The Privacy Officer will receive and keep a file of these complaints.</w:t>
            </w:r>
          </w:p>
        </w:tc>
      </w:tr>
      <w:tr w:rsidR="65814C2E" w:rsidTr="61506038" w14:paraId="4546A51B">
        <w:trPr>
          <w:trHeight w:val="585"/>
        </w:trPr>
        <w:tc>
          <w:tcPr>
            <w:tcW w:w="2325" w:type="dxa"/>
            <w:tcMar/>
          </w:tcPr>
          <w:p w:rsidR="21C5F5F1" w:rsidP="65814C2E" w:rsidRDefault="21C5F5F1" w14:paraId="6281C66E" w14:textId="5BBE417E">
            <w:pPr>
              <w:spacing w:before="0" w:after="0" w:line="240" w:lineRule="auto"/>
              <w:jc w:val="both"/>
              <w:rPr>
                <w:rFonts w:ascii="Calibri" w:hAnsi="Calibri" w:eastAsia="Calibri" w:cs="Calibri"/>
                <w:noProof w:val="0"/>
                <w:sz w:val="24"/>
                <w:szCs w:val="24"/>
                <w:lang w:val="en-US"/>
              </w:rPr>
            </w:pPr>
            <w:r w:rsidRPr="65814C2E" w:rsidR="21C5F5F1">
              <w:rPr>
                <w:rFonts w:ascii="Calibri" w:hAnsi="Calibri" w:eastAsia="Calibri" w:cs="Calibri"/>
                <w:b w:val="1"/>
                <w:bCs w:val="1"/>
                <w:i w:val="0"/>
                <w:iCs w:val="0"/>
                <w:caps w:val="0"/>
                <w:smallCaps w:val="0"/>
                <w:noProof w:val="0"/>
                <w:color w:val="000000" w:themeColor="text1" w:themeTint="FF" w:themeShade="FF"/>
                <w:sz w:val="24"/>
                <w:szCs w:val="24"/>
                <w:lang w:val="en-US"/>
              </w:rPr>
              <w:t>APPLICABLE STANDARDS:</w:t>
            </w:r>
          </w:p>
        </w:tc>
        <w:tc>
          <w:tcPr>
            <w:tcW w:w="8380" w:type="dxa"/>
            <w:tcMar/>
          </w:tcPr>
          <w:p w:rsidR="21C5F5F1" w:rsidP="65814C2E" w:rsidRDefault="21C5F5F1" w14:paraId="2643CF06" w14:textId="3588E744">
            <w:pPr>
              <w:pStyle w:val="Normal"/>
              <w:jc w:val="both"/>
              <w:rPr>
                <w:rFonts w:ascii="Calibri" w:hAnsi="Calibri" w:eastAsia="Abadi" w:cs="Calibri"/>
                <w:color w:val="000000" w:themeColor="text1" w:themeTint="FF" w:themeShade="FF"/>
                <w:sz w:val="24"/>
                <w:szCs w:val="24"/>
              </w:rPr>
            </w:pPr>
            <w:r w:rsidRPr="65814C2E" w:rsidR="21C5F5F1">
              <w:rPr>
                <w:rFonts w:ascii="Calibri" w:hAnsi="Calibri" w:eastAsia="Abadi" w:cs="Calibri"/>
                <w:color w:val="000000" w:themeColor="text1" w:themeTint="FF" w:themeShade="FF"/>
                <w:sz w:val="24"/>
                <w:szCs w:val="24"/>
              </w:rPr>
              <w:t>CARF 1.K.3.; 1.K.2.a, b., HIP</w:t>
            </w:r>
          </w:p>
        </w:tc>
      </w:tr>
      <w:tr w:rsidRPr="00754EE3" w:rsidR="00754EE3" w:rsidTr="61506038" w14:paraId="48C473D3" w14:textId="77777777">
        <w:trPr>
          <w:trHeight w:val="300"/>
        </w:trPr>
        <w:tc>
          <w:tcPr>
            <w:tcW w:w="2325" w:type="dxa"/>
            <w:tcMar/>
          </w:tcPr>
          <w:p w:rsidRPr="00754EE3" w:rsidR="00754EE3" w:rsidP="006348E5" w:rsidRDefault="00754EE3" w14:paraId="704AFAC3" w14:textId="77777777">
            <w:pPr>
              <w:jc w:val="both"/>
              <w:rPr>
                <w:rFonts w:ascii="Calibri" w:hAnsi="Calibri" w:eastAsia="Calibri" w:cs="Calibri"/>
                <w:b/>
                <w:color w:val="auto"/>
                <w:sz w:val="24"/>
                <w:szCs w:val="24"/>
              </w:rPr>
            </w:pPr>
            <w:r w:rsidRPr="00754EE3">
              <w:rPr>
                <w:rFonts w:ascii="Calibri" w:hAnsi="Calibri" w:eastAsia="Calibri" w:cs="Calibri"/>
                <w:b/>
                <w:color w:val="auto"/>
                <w:sz w:val="24"/>
                <w:szCs w:val="24"/>
              </w:rPr>
              <w:lastRenderedPageBreak/>
              <w:t>EXCEPTIONS:</w:t>
            </w:r>
          </w:p>
        </w:tc>
        <w:tc>
          <w:tcPr>
            <w:tcW w:w="8380" w:type="dxa"/>
            <w:tcMar/>
          </w:tcPr>
          <w:p w:rsidRPr="00754EE3" w:rsidR="00754EE3" w:rsidP="006348E5" w:rsidRDefault="00754EE3" w14:paraId="07830787" w14:textId="77777777">
            <w:pPr>
              <w:spacing w:after="120"/>
              <w:jc w:val="both"/>
              <w:rPr>
                <w:rFonts w:ascii="Calibri" w:hAnsi="Calibri" w:eastAsia="Calibri" w:cs="Calibri"/>
                <w:color w:val="auto"/>
                <w:sz w:val="24"/>
                <w:szCs w:val="24"/>
              </w:rPr>
            </w:pPr>
          </w:p>
        </w:tc>
      </w:tr>
      <w:tr w:rsidRPr="00754EE3" w:rsidR="00754EE3" w:rsidTr="61506038" w14:paraId="2AEAB3CA" w14:textId="77777777">
        <w:trPr>
          <w:trHeight w:val="431"/>
        </w:trPr>
        <w:tc>
          <w:tcPr>
            <w:tcW w:w="2325" w:type="dxa"/>
            <w:tcMar/>
          </w:tcPr>
          <w:p w:rsidRPr="00754EE3" w:rsidR="00754EE3" w:rsidP="006348E5" w:rsidRDefault="00754EE3" w14:paraId="339C3ED1" w14:textId="77777777">
            <w:pPr>
              <w:jc w:val="both"/>
              <w:rPr>
                <w:rFonts w:ascii="Calibri" w:hAnsi="Calibri" w:eastAsia="Calibri" w:cs="Calibri"/>
                <w:b/>
                <w:color w:val="auto"/>
                <w:sz w:val="24"/>
                <w:szCs w:val="24"/>
              </w:rPr>
            </w:pPr>
            <w:r w:rsidRPr="00754EE3">
              <w:rPr>
                <w:rFonts w:ascii="Calibri" w:hAnsi="Calibri" w:eastAsia="Calibri" w:cs="Calibri"/>
                <w:b/>
                <w:color w:val="auto"/>
                <w:sz w:val="24"/>
                <w:szCs w:val="24"/>
              </w:rPr>
              <w:t>APPROVERS:</w:t>
            </w:r>
          </w:p>
        </w:tc>
        <w:tc>
          <w:tcPr>
            <w:tcW w:w="8380" w:type="dxa"/>
            <w:tcMar/>
          </w:tcPr>
          <w:p w:rsidR="61506038" w:rsidP="61506038" w:rsidRDefault="61506038" w14:paraId="610E9ABE" w14:textId="634D8E1B">
            <w:pPr>
              <w:pBdr>
                <w:bottom w:val="single" w:color="FF000000" w:sz="12" w:space="1"/>
              </w:pBdr>
              <w:spacing w:before="40" w:after="0" w:line="240" w:lineRule="auto"/>
              <w:rPr>
                <w:rFonts w:ascii="Calibri" w:hAnsi="Calibri" w:eastAsia="Calibri" w:cs="Calibri"/>
                <w:b w:val="0"/>
                <w:bCs w:val="0"/>
                <w:i w:val="0"/>
                <w:iCs w:val="0"/>
                <w:caps w:val="0"/>
                <w:smallCaps w:val="0"/>
                <w:noProof w:val="0"/>
                <w:color w:val="595959" w:themeColor="text1" w:themeTint="A6" w:themeShade="FF"/>
                <w:sz w:val="24"/>
                <w:szCs w:val="24"/>
                <w:lang w:val="en-US"/>
              </w:rPr>
            </w:pPr>
          </w:p>
          <w:p w:rsidR="61506038" w:rsidP="61506038" w:rsidRDefault="61506038" w14:paraId="0758DEE6" w14:textId="09399591">
            <w:pPr>
              <w:pBdr>
                <w:bottom w:val="single" w:color="FF000000" w:sz="12" w:space="1"/>
              </w:pBdr>
              <w:spacing w:before="40" w:after="0" w:line="240" w:lineRule="auto"/>
              <w:rPr>
                <w:rFonts w:ascii="Calibri" w:hAnsi="Calibri" w:eastAsia="Calibri" w:cs="Calibri"/>
                <w:b w:val="0"/>
                <w:bCs w:val="0"/>
                <w:i w:val="0"/>
                <w:iCs w:val="0"/>
                <w:caps w:val="0"/>
                <w:smallCaps w:val="0"/>
                <w:noProof w:val="0"/>
                <w:color w:val="595959" w:themeColor="text1" w:themeTint="A6" w:themeShade="FF"/>
                <w:sz w:val="24"/>
                <w:szCs w:val="24"/>
                <w:lang w:val="en-US"/>
              </w:rPr>
            </w:pPr>
          </w:p>
          <w:p w:rsidR="7489246A" w:rsidP="61506038" w:rsidRDefault="7489246A" w14:paraId="61CF27F5" w14:textId="04E87EA6">
            <w:pPr>
              <w:spacing w:before="40"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1506038" w:rsidR="7489246A">
              <w:rPr>
                <w:rFonts w:ascii="Calibri" w:hAnsi="Calibri" w:eastAsia="Calibri" w:cs="Calibri"/>
                <w:b w:val="0"/>
                <w:bCs w:val="0"/>
                <w:i w:val="0"/>
                <w:iCs w:val="0"/>
                <w:caps w:val="0"/>
                <w:smallCaps w:val="0"/>
                <w:noProof w:val="0"/>
                <w:color w:val="000000" w:themeColor="text1" w:themeTint="FF" w:themeShade="FF"/>
                <w:sz w:val="22"/>
                <w:szCs w:val="22"/>
                <w:lang w:val="en-US"/>
              </w:rPr>
              <w:t>John Tooson IV | Chief Executive Officer (CEO)</w:t>
            </w:r>
          </w:p>
          <w:p w:rsidR="61506038" w:rsidP="61506038" w:rsidRDefault="61506038" w14:paraId="5F723266" w14:textId="4FC4356B">
            <w:pPr>
              <w:spacing w:before="40"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1506038" w:rsidP="61506038" w:rsidRDefault="61506038" w14:paraId="2B15B015" w14:textId="3814C374">
            <w:pPr>
              <w:pBdr>
                <w:bottom w:val="single" w:color="FF000000" w:sz="12" w:space="1"/>
              </w:pBdr>
              <w:spacing w:before="40"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489246A" w:rsidP="61506038" w:rsidRDefault="7489246A" w14:paraId="73693529" w14:textId="06B624AE">
            <w:pPr>
              <w:spacing w:before="40"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1506038" w:rsidR="7489246A">
              <w:rPr>
                <w:rFonts w:ascii="Calibri" w:hAnsi="Calibri" w:eastAsia="Calibri" w:cs="Calibri"/>
                <w:b w:val="0"/>
                <w:bCs w:val="0"/>
                <w:i w:val="0"/>
                <w:iCs w:val="0"/>
                <w:caps w:val="0"/>
                <w:smallCaps w:val="0"/>
                <w:noProof w:val="0"/>
                <w:color w:val="000000" w:themeColor="text1" w:themeTint="FF" w:themeShade="FF"/>
                <w:sz w:val="22"/>
                <w:szCs w:val="22"/>
                <w:lang w:val="en-US"/>
              </w:rPr>
              <w:t>Arnethia Levey | Vice President, Program Development &amp; Compliance</w:t>
            </w:r>
          </w:p>
          <w:p w:rsidR="61506038" w:rsidP="61506038" w:rsidRDefault="61506038" w14:paraId="75A1FACE" w14:textId="25762E6A">
            <w:pPr>
              <w:spacing w:before="0"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754EE3" w:rsidR="00754EE3" w:rsidP="006348E5" w:rsidRDefault="00754EE3" w14:paraId="0C22B79D" w14:textId="63BA0B00">
            <w:pPr>
              <w:spacing w:line="259" w:lineRule="auto"/>
              <w:rPr>
                <w:rFonts w:ascii="Calibri" w:hAnsi="Calibri" w:eastAsia="Calibri" w:cs="Calibri"/>
                <w:color w:val="auto"/>
                <w:sz w:val="24"/>
                <w:szCs w:val="24"/>
              </w:rPr>
            </w:pPr>
          </w:p>
        </w:tc>
      </w:tr>
    </w:tbl>
    <w:p w:rsidRPr="00754EE3" w:rsidR="00754EE3" w:rsidP="00537E93" w:rsidRDefault="00754EE3" w14:paraId="6388443E" w14:textId="77777777">
      <w:pPr>
        <w:pBdr>
          <w:top w:val="nil"/>
          <w:left w:val="nil"/>
          <w:bottom w:val="nil"/>
          <w:right w:val="nil"/>
          <w:between w:val="nil"/>
        </w:pBdr>
        <w:spacing w:before="0" w:after="0" w:line="240" w:lineRule="auto"/>
        <w:rPr>
          <w:rFonts w:ascii="Calibri" w:hAnsi="Calibri" w:eastAsia="Calibri" w:cs="Calibri"/>
          <w:color w:val="000000" w:themeColor="text1"/>
          <w:sz w:val="24"/>
          <w:szCs w:val="24"/>
        </w:rPr>
      </w:pPr>
    </w:p>
    <w:p w:rsidRPr="00754EE3" w:rsidR="00B36802" w:rsidP="00E11988" w:rsidRDefault="00754EE3" w14:paraId="449A09F7" w14:textId="010EF2B7">
      <w:pPr>
        <w:rPr>
          <w:rFonts w:ascii="Calibri" w:hAnsi="Calibri" w:cs="Calibri"/>
          <w:sz w:val="24"/>
          <w:szCs w:val="24"/>
        </w:rPr>
      </w:pPr>
      <w:r w:rsidRPr="00754EE3">
        <w:rPr>
          <w:rFonts w:ascii="Calibri" w:hAnsi="Calibri" w:cs="Calibri"/>
          <w:sz w:val="24"/>
          <w:szCs w:val="24"/>
        </w:rPr>
        <w:tab/>
      </w:r>
    </w:p>
    <w:sectPr w:rsidRPr="00754EE3" w:rsidR="00B36802" w:rsidSect="00840D97">
      <w:headerReference w:type="default" r:id="rId11"/>
      <w:footerReference w:type="default" r:id="rId12"/>
      <w:type w:val="continuous"/>
      <w:pgSz w:w="12240" w:h="15840" w:orient="portrait"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C4AD9" w:rsidP="00D45945" w:rsidRDefault="002C4AD9" w14:paraId="0DABD26D" w14:textId="77777777">
      <w:pPr>
        <w:spacing w:before="0" w:after="0" w:line="240" w:lineRule="auto"/>
      </w:pPr>
      <w:r>
        <w:separator/>
      </w:r>
    </w:p>
  </w:endnote>
  <w:endnote w:type="continuationSeparator" w:id="0">
    <w:p w:rsidR="002C4AD9" w:rsidP="00D45945" w:rsidRDefault="002C4AD9" w14:paraId="0682417C"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sdt>
    <w:sdtPr>
      <w:id w:val="-1535874703"/>
      <w:docPartObj>
        <w:docPartGallery w:val="Page Numbers (Bottom of Page)"/>
        <w:docPartUnique/>
      </w:docPartObj>
    </w:sdtPr>
    <w:sdtEndPr/>
    <w:sdtContent>
      <w:sdt>
        <w:sdtPr>
          <w:id w:val="1728636285"/>
          <w:docPartObj>
            <w:docPartGallery w:val="Page Numbers (Top of Page)"/>
            <w:docPartUnique/>
          </w:docPartObj>
        </w:sdtPr>
        <w:sdtEndPr/>
        <w:sdtContent>
          <w:p w:rsidR="001C2C5B" w:rsidRDefault="001C2C5B" w14:paraId="5E54751F" w14:textId="436344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1C2C5B" w:rsidRDefault="00946800" w14:paraId="3E20D55B" w14:textId="360C6E6D">
    <w:pPr>
      <w:pStyle w:val="Footer"/>
    </w:pPr>
    <w:r>
      <w:rPr>
        <w:noProof/>
      </w:rPr>
      <mc:AlternateContent>
        <mc:Choice Requires="wps">
          <w:drawing>
            <wp:anchor distT="0" distB="0" distL="114300" distR="114300" simplePos="0" relativeHeight="251663360" behindDoc="0" locked="0" layoutInCell="1" allowOverlap="1" wp14:anchorId="15F52E5B" wp14:editId="53257BA3">
              <wp:simplePos x="0" y="0"/>
              <wp:positionH relativeFrom="column">
                <wp:posOffset>-482070</wp:posOffset>
              </wp:positionH>
              <wp:positionV relativeFrom="paragraph">
                <wp:posOffset>222267</wp:posOffset>
              </wp:positionV>
              <wp:extent cx="7772400" cy="342764"/>
              <wp:effectExtent l="0" t="0" r="0" b="635"/>
              <wp:wrapNone/>
              <wp:docPr id="13" name="Rectangle 1"/>
              <wp:cNvGraphicFramePr/>
              <a:graphic xmlns:a="http://schemas.openxmlformats.org/drawingml/2006/main">
                <a:graphicData uri="http://schemas.microsoft.com/office/word/2010/wordprocessingShape">
                  <wps:wsp>
                    <wps:cNvSpPr/>
                    <wps:spPr>
                      <a:xfrm rot="10800000">
                        <a:off x="0" y="0"/>
                        <a:ext cx="7772400" cy="34276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37.95pt;margin-top:17.5pt;width:612pt;height:27pt;rotation:180;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13]" stroked="f" strokeweight="1pt" w14:anchorId="6B0D1B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C4AD9" w:rsidP="00D45945" w:rsidRDefault="002C4AD9" w14:paraId="29B8263E" w14:textId="77777777">
      <w:pPr>
        <w:spacing w:before="0" w:after="0" w:line="240" w:lineRule="auto"/>
      </w:pPr>
      <w:r>
        <w:separator/>
      </w:r>
    </w:p>
  </w:footnote>
  <w:footnote w:type="continuationSeparator" w:id="0">
    <w:p w:rsidR="002C4AD9" w:rsidP="00D45945" w:rsidRDefault="002C4AD9" w14:paraId="49869DF3"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12510" w:type="dxa"/>
      <w:tblInd w:w="-8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510"/>
    </w:tblGrid>
    <w:tr w:rsidR="00946800" w:rsidTr="00946800" w14:paraId="2AA0D41A" w14:textId="77777777">
      <w:trPr>
        <w:trHeight w:val="980"/>
      </w:trPr>
      <w:tc>
        <w:tcPr>
          <w:tcW w:w="12510" w:type="dxa"/>
        </w:tcPr>
        <w:p w:rsidR="00946800" w:rsidP="00946800" w:rsidRDefault="00946800" w14:paraId="478A95C7" w14:textId="5BBF59C3">
          <w:pPr>
            <w:pStyle w:val="Header"/>
            <w:tabs>
              <w:tab w:val="left" w:pos="3225"/>
            </w:tabs>
            <w:rPr>
              <w:noProof/>
              <w:color w:val="000000" w:themeColor="text1"/>
              <w:lang w:eastAsia="en-US"/>
            </w:rPr>
          </w:pPr>
          <w:r>
            <w:rPr>
              <w:noProof/>
            </w:rPr>
            <w:drawing>
              <wp:inline distT="0" distB="0" distL="0" distR="0" wp14:anchorId="42AB9E72" wp14:editId="4CEA4D16">
                <wp:extent cx="1971675" cy="796660"/>
                <wp:effectExtent l="0" t="0" r="0" b="3810"/>
                <wp:docPr id="1575863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32D7D9" wp14:editId="788F6D61">
                <wp:extent cx="1971675" cy="796660"/>
                <wp:effectExtent l="0" t="0" r="0" b="3810"/>
                <wp:docPr id="1309877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6E36C66" wp14:editId="6DC267BC">
                <wp:extent cx="1971675" cy="796660"/>
                <wp:effectExtent l="0" t="0" r="0" b="3810"/>
                <wp:docPr id="457479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5510508" wp14:editId="66A77728">
                <wp:extent cx="1532611" cy="796290"/>
                <wp:effectExtent l="0" t="0" r="0" b="3810"/>
                <wp:docPr id="65847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l="22232" b="43041"/>
                        <a:stretch/>
                      </pic:blipFill>
                      <pic:spPr bwMode="auto">
                        <a:xfrm>
                          <a:off x="0" y="0"/>
                          <a:ext cx="1536199" cy="798154"/>
                        </a:xfrm>
                        <a:prstGeom prst="rect">
                          <a:avLst/>
                        </a:prstGeom>
                        <a:ln>
                          <a:noFill/>
                        </a:ln>
                        <a:extLst>
                          <a:ext uri="{53640926-AAD7-44D8-BBD7-CCE9431645EC}">
                            <a14:shadowObscured xmlns:a14="http://schemas.microsoft.com/office/drawing/2010/main"/>
                          </a:ext>
                        </a:extLst>
                      </pic:spPr>
                    </pic:pic>
                  </a:graphicData>
                </a:graphic>
              </wp:inline>
            </w:drawing>
          </w:r>
        </w:p>
      </w:tc>
    </w:tr>
    <w:tr w:rsidR="00946800" w:rsidTr="00946800" w14:paraId="4B7A2E67" w14:textId="77777777">
      <w:tc>
        <w:tcPr>
          <w:tcW w:w="12510" w:type="dxa"/>
        </w:tcPr>
        <w:p w:rsidR="00946800" w:rsidRDefault="00946800" w14:paraId="76F5B6FE" w14:textId="15F19F36">
          <w:pPr>
            <w:pStyle w:val="Header"/>
            <w:rPr>
              <w:noProof/>
              <w:color w:val="000000" w:themeColor="text1"/>
              <w:lang w:eastAsia="en-US"/>
            </w:rPr>
          </w:pPr>
          <w:r>
            <w:rPr>
              <w:noProof/>
              <w:color w:val="000000" w:themeColor="text1"/>
              <w:lang w:eastAsia="en-US"/>
            </w:rPr>
            <w:drawing>
              <wp:inline distT="0" distB="0" distL="0" distR="0" wp14:anchorId="7175938F" wp14:editId="1DB28810">
                <wp:extent cx="1270635" cy="735981"/>
                <wp:effectExtent l="0" t="0" r="5715" b="6985"/>
                <wp:docPr id="970742732" name="Picture 2" descr="A logo with blue do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742732" name="Picture 2" descr="A logo with blue dots and lines&#10;&#10;Description automatically generated"/>
                        <pic:cNvPicPr/>
                      </pic:nvPicPr>
                      <pic:blipFill rotWithShape="1">
                        <a:blip r:embed="rId2">
                          <a:extLst>
                            <a:ext uri="{28A0092B-C50C-407E-A947-70E740481C1C}">
                              <a14:useLocalDpi xmlns:a14="http://schemas.microsoft.com/office/drawing/2010/main" val="0"/>
                            </a:ext>
                          </a:extLst>
                        </a:blip>
                        <a:srcRect l="14702" t="24203" b="26390"/>
                        <a:stretch/>
                      </pic:blipFill>
                      <pic:spPr bwMode="auto">
                        <a:xfrm>
                          <a:off x="0" y="0"/>
                          <a:ext cx="1280630" cy="741770"/>
                        </a:xfrm>
                        <a:prstGeom prst="rect">
                          <a:avLst/>
                        </a:prstGeom>
                        <a:ln>
                          <a:noFill/>
                        </a:ln>
                        <a:extLst>
                          <a:ext uri="{53640926-AAD7-44D8-BBD7-CCE9431645EC}">
                            <a14:shadowObscured xmlns:a14="http://schemas.microsoft.com/office/drawing/2010/main"/>
                          </a:ext>
                        </a:extLst>
                      </pic:spPr>
                    </pic:pic>
                  </a:graphicData>
                </a:graphic>
              </wp:inline>
            </w:drawing>
          </w:r>
        </w:p>
      </w:tc>
    </w:tr>
  </w:tbl>
  <w:p w:rsidR="00D45945" w:rsidRDefault="00D45945" w14:paraId="5C64908E" w14:textId="0EF88139">
    <w:pPr>
      <w:pStyle w:val="Header"/>
      <w:rPr>
        <w:noProof/>
        <w:color w:val="000000" w:themeColor="text1"/>
        <w:lang w:eastAsia="en-US"/>
      </w:rPr>
    </w:pPr>
    <w:r w:rsidRPr="00615018">
      <w:rPr>
        <w:noProof/>
        <w:color w:val="000000" w:themeColor="text1"/>
        <w:lang w:eastAsia="en-US"/>
      </w:rPr>
      <w:t xml:space="preserve"> </w:t>
    </w:r>
  </w:p>
  <w:p w:rsidR="00E36BB1" w:rsidRDefault="00E36BB1" w14:paraId="190A722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6884"/>
    <w:multiLevelType w:val="hybridMultilevel"/>
    <w:tmpl w:val="DA0ECE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2507EB7"/>
    <w:multiLevelType w:val="hybridMultilevel"/>
    <w:tmpl w:val="7DE40554"/>
    <w:lvl w:ilvl="0" w:tplc="A5509CC8">
      <w:start w:val="1"/>
      <w:numFmt w:val="lowerLetter"/>
      <w:lvlText w:val="%1."/>
      <w:lvlJc w:val="left"/>
      <w:pPr>
        <w:ind w:left="1560" w:hanging="360"/>
      </w:pPr>
      <w:rPr>
        <w:rFonts w:hint="default" w:ascii="Times New Roman" w:hAnsi="Times New Roman"/>
      </w:rPr>
    </w:lvl>
    <w:lvl w:ilvl="1" w:tplc="17AEBC84">
      <w:start w:val="1"/>
      <w:numFmt w:val="lowerLetter"/>
      <w:lvlText w:val="%2."/>
      <w:lvlJc w:val="left"/>
      <w:pPr>
        <w:ind w:left="1440" w:hanging="360"/>
      </w:pPr>
    </w:lvl>
    <w:lvl w:ilvl="2" w:tplc="A0E282EA">
      <w:start w:val="1"/>
      <w:numFmt w:val="lowerRoman"/>
      <w:lvlText w:val="%3."/>
      <w:lvlJc w:val="right"/>
      <w:pPr>
        <w:ind w:left="2160" w:hanging="180"/>
      </w:pPr>
    </w:lvl>
    <w:lvl w:ilvl="3" w:tplc="E1669F6A">
      <w:start w:val="1"/>
      <w:numFmt w:val="decimal"/>
      <w:lvlText w:val="%4."/>
      <w:lvlJc w:val="left"/>
      <w:pPr>
        <w:ind w:left="2880" w:hanging="360"/>
      </w:pPr>
    </w:lvl>
    <w:lvl w:ilvl="4" w:tplc="4426C190">
      <w:start w:val="1"/>
      <w:numFmt w:val="lowerLetter"/>
      <w:lvlText w:val="%5."/>
      <w:lvlJc w:val="left"/>
      <w:pPr>
        <w:ind w:left="3600" w:hanging="360"/>
      </w:pPr>
    </w:lvl>
    <w:lvl w:ilvl="5" w:tplc="6B8C33DE">
      <w:start w:val="1"/>
      <w:numFmt w:val="lowerRoman"/>
      <w:lvlText w:val="%6."/>
      <w:lvlJc w:val="right"/>
      <w:pPr>
        <w:ind w:left="4320" w:hanging="180"/>
      </w:pPr>
    </w:lvl>
    <w:lvl w:ilvl="6" w:tplc="187C9A4E">
      <w:start w:val="1"/>
      <w:numFmt w:val="decimal"/>
      <w:lvlText w:val="%7."/>
      <w:lvlJc w:val="left"/>
      <w:pPr>
        <w:ind w:left="5040" w:hanging="360"/>
      </w:pPr>
    </w:lvl>
    <w:lvl w:ilvl="7" w:tplc="4754DC22">
      <w:start w:val="1"/>
      <w:numFmt w:val="lowerLetter"/>
      <w:lvlText w:val="%8."/>
      <w:lvlJc w:val="left"/>
      <w:pPr>
        <w:ind w:left="5760" w:hanging="360"/>
      </w:pPr>
    </w:lvl>
    <w:lvl w:ilvl="8" w:tplc="8A8A62DA">
      <w:start w:val="1"/>
      <w:numFmt w:val="lowerRoman"/>
      <w:lvlText w:val="%9."/>
      <w:lvlJc w:val="right"/>
      <w:pPr>
        <w:ind w:left="6480" w:hanging="180"/>
      </w:pPr>
    </w:lvl>
  </w:abstractNum>
  <w:abstractNum w:abstractNumId="2" w15:restartNumberingAfterBreak="0">
    <w:nsid w:val="0361549E"/>
    <w:multiLevelType w:val="hybridMultilevel"/>
    <w:tmpl w:val="FA2E3FFE"/>
    <w:lvl w:ilvl="0" w:tplc="664A8B64">
      <w:numFmt w:val="bullet"/>
      <w:lvlText w:val="-"/>
      <w:lvlJc w:val="left"/>
      <w:pPr>
        <w:ind w:left="720" w:hanging="36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50F4E07"/>
    <w:multiLevelType w:val="hybridMultilevel"/>
    <w:tmpl w:val="37B0D64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047478D"/>
    <w:multiLevelType w:val="hybridMultilevel"/>
    <w:tmpl w:val="C2C47650"/>
    <w:lvl w:ilvl="0" w:tplc="7EE22890">
      <w:start w:val="1"/>
      <w:numFmt w:val="decimal"/>
      <w:lvlText w:val="%1."/>
      <w:lvlJc w:val="left"/>
      <w:pPr>
        <w:ind w:left="840" w:hanging="360"/>
      </w:pPr>
      <w:rPr>
        <w:rFonts w:hint="default" w:ascii="Times New Roman" w:hAnsi="Times New Roman"/>
      </w:rPr>
    </w:lvl>
    <w:lvl w:ilvl="1" w:tplc="636E1250">
      <w:start w:val="1"/>
      <w:numFmt w:val="lowerLetter"/>
      <w:lvlText w:val="%2."/>
      <w:lvlJc w:val="left"/>
      <w:pPr>
        <w:ind w:left="1560" w:hanging="360"/>
      </w:pPr>
    </w:lvl>
    <w:lvl w:ilvl="2" w:tplc="0BFAED96">
      <w:start w:val="1"/>
      <w:numFmt w:val="lowerRoman"/>
      <w:lvlText w:val="%3."/>
      <w:lvlJc w:val="right"/>
      <w:pPr>
        <w:ind w:left="2160" w:hanging="180"/>
      </w:pPr>
    </w:lvl>
    <w:lvl w:ilvl="3" w:tplc="19C26C72">
      <w:start w:val="1"/>
      <w:numFmt w:val="decimal"/>
      <w:lvlText w:val="%4."/>
      <w:lvlJc w:val="left"/>
      <w:pPr>
        <w:ind w:left="2880" w:hanging="360"/>
      </w:pPr>
    </w:lvl>
    <w:lvl w:ilvl="4" w:tplc="EE5CFA40">
      <w:start w:val="1"/>
      <w:numFmt w:val="lowerLetter"/>
      <w:lvlText w:val="%5."/>
      <w:lvlJc w:val="left"/>
      <w:pPr>
        <w:ind w:left="3600" w:hanging="360"/>
      </w:pPr>
    </w:lvl>
    <w:lvl w:ilvl="5" w:tplc="FF389F08">
      <w:start w:val="1"/>
      <w:numFmt w:val="lowerRoman"/>
      <w:lvlText w:val="%6."/>
      <w:lvlJc w:val="right"/>
      <w:pPr>
        <w:ind w:left="4320" w:hanging="180"/>
      </w:pPr>
    </w:lvl>
    <w:lvl w:ilvl="6" w:tplc="7722EA8A">
      <w:start w:val="1"/>
      <w:numFmt w:val="decimal"/>
      <w:lvlText w:val="%7."/>
      <w:lvlJc w:val="left"/>
      <w:pPr>
        <w:ind w:left="5040" w:hanging="360"/>
      </w:pPr>
    </w:lvl>
    <w:lvl w:ilvl="7" w:tplc="59E897A4">
      <w:start w:val="1"/>
      <w:numFmt w:val="lowerLetter"/>
      <w:lvlText w:val="%8."/>
      <w:lvlJc w:val="left"/>
      <w:pPr>
        <w:ind w:left="5760" w:hanging="360"/>
      </w:pPr>
    </w:lvl>
    <w:lvl w:ilvl="8" w:tplc="E9CAACAC">
      <w:start w:val="1"/>
      <w:numFmt w:val="lowerRoman"/>
      <w:lvlText w:val="%9."/>
      <w:lvlJc w:val="right"/>
      <w:pPr>
        <w:ind w:left="6480" w:hanging="180"/>
      </w:pPr>
    </w:lvl>
  </w:abstractNum>
  <w:abstractNum w:abstractNumId="5" w15:restartNumberingAfterBreak="0">
    <w:nsid w:val="212535C5"/>
    <w:multiLevelType w:val="hybridMultilevel"/>
    <w:tmpl w:val="1CDA4148"/>
    <w:lvl w:ilvl="0" w:tplc="252664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939F3"/>
    <w:multiLevelType w:val="hybridMultilevel"/>
    <w:tmpl w:val="B756F9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7410DED"/>
    <w:multiLevelType w:val="hybridMultilevel"/>
    <w:tmpl w:val="D75A2D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FF57BBA"/>
    <w:multiLevelType w:val="hybridMultilevel"/>
    <w:tmpl w:val="EA206C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0DE7B54"/>
    <w:multiLevelType w:val="hybridMultilevel"/>
    <w:tmpl w:val="2C367A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817990767">
    <w:abstractNumId w:val="0"/>
  </w:num>
  <w:num w:numId="2" w16cid:durableId="376662114">
    <w:abstractNumId w:val="7"/>
  </w:num>
  <w:num w:numId="3" w16cid:durableId="693576223">
    <w:abstractNumId w:val="5"/>
  </w:num>
  <w:num w:numId="4" w16cid:durableId="1776748253">
    <w:abstractNumId w:val="9"/>
  </w:num>
  <w:num w:numId="5" w16cid:durableId="971444006">
    <w:abstractNumId w:val="3"/>
  </w:num>
  <w:num w:numId="6" w16cid:durableId="1785466167">
    <w:abstractNumId w:val="6"/>
  </w:num>
  <w:num w:numId="7" w16cid:durableId="1949465693">
    <w:abstractNumId w:val="8"/>
  </w:num>
  <w:num w:numId="8" w16cid:durableId="929700219">
    <w:abstractNumId w:val="2"/>
  </w:num>
  <w:num w:numId="9" w16cid:durableId="1868716655">
    <w:abstractNumId w:val="4"/>
  </w:num>
  <w:num w:numId="10" w16cid:durableId="923226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B1"/>
    <w:rsid w:val="00007F85"/>
    <w:rsid w:val="00020F21"/>
    <w:rsid w:val="00026288"/>
    <w:rsid w:val="00040031"/>
    <w:rsid w:val="000500C7"/>
    <w:rsid w:val="00070634"/>
    <w:rsid w:val="00083BAA"/>
    <w:rsid w:val="000A6F13"/>
    <w:rsid w:val="000B076A"/>
    <w:rsid w:val="000F393D"/>
    <w:rsid w:val="001766D6"/>
    <w:rsid w:val="0017722C"/>
    <w:rsid w:val="00177C41"/>
    <w:rsid w:val="00185805"/>
    <w:rsid w:val="001A57FD"/>
    <w:rsid w:val="001B7569"/>
    <w:rsid w:val="001C2C5B"/>
    <w:rsid w:val="001D7EAF"/>
    <w:rsid w:val="001E2C1B"/>
    <w:rsid w:val="002144B5"/>
    <w:rsid w:val="00237252"/>
    <w:rsid w:val="002B34F0"/>
    <w:rsid w:val="002C4AD9"/>
    <w:rsid w:val="002C5048"/>
    <w:rsid w:val="00361E26"/>
    <w:rsid w:val="003E24CA"/>
    <w:rsid w:val="003E24DF"/>
    <w:rsid w:val="003F6F57"/>
    <w:rsid w:val="004050B2"/>
    <w:rsid w:val="00410483"/>
    <w:rsid w:val="00415E80"/>
    <w:rsid w:val="00423DAC"/>
    <w:rsid w:val="0043267C"/>
    <w:rsid w:val="00450BB2"/>
    <w:rsid w:val="004529D4"/>
    <w:rsid w:val="004A2B0D"/>
    <w:rsid w:val="004E10F5"/>
    <w:rsid w:val="004F123C"/>
    <w:rsid w:val="00501380"/>
    <w:rsid w:val="00504736"/>
    <w:rsid w:val="0051181C"/>
    <w:rsid w:val="00526C06"/>
    <w:rsid w:val="00537E93"/>
    <w:rsid w:val="00564809"/>
    <w:rsid w:val="005C2210"/>
    <w:rsid w:val="00615018"/>
    <w:rsid w:val="0062123A"/>
    <w:rsid w:val="006445F5"/>
    <w:rsid w:val="00645DF8"/>
    <w:rsid w:val="00646E75"/>
    <w:rsid w:val="00651FEC"/>
    <w:rsid w:val="0065258E"/>
    <w:rsid w:val="00663BA0"/>
    <w:rsid w:val="0067693A"/>
    <w:rsid w:val="006B4163"/>
    <w:rsid w:val="006E4133"/>
    <w:rsid w:val="006F6F10"/>
    <w:rsid w:val="00712765"/>
    <w:rsid w:val="007416FC"/>
    <w:rsid w:val="00754EE3"/>
    <w:rsid w:val="007553ED"/>
    <w:rsid w:val="00783E79"/>
    <w:rsid w:val="007852CA"/>
    <w:rsid w:val="007B0919"/>
    <w:rsid w:val="007B195E"/>
    <w:rsid w:val="007B1C09"/>
    <w:rsid w:val="007B5AE8"/>
    <w:rsid w:val="007C783D"/>
    <w:rsid w:val="007D406F"/>
    <w:rsid w:val="007E6220"/>
    <w:rsid w:val="007F20FF"/>
    <w:rsid w:val="007F5192"/>
    <w:rsid w:val="008048FB"/>
    <w:rsid w:val="008109A0"/>
    <w:rsid w:val="00832768"/>
    <w:rsid w:val="00840D97"/>
    <w:rsid w:val="008D2A43"/>
    <w:rsid w:val="00905959"/>
    <w:rsid w:val="00914F3A"/>
    <w:rsid w:val="00932604"/>
    <w:rsid w:val="00946800"/>
    <w:rsid w:val="009823FE"/>
    <w:rsid w:val="00984777"/>
    <w:rsid w:val="0099334A"/>
    <w:rsid w:val="009C5E2C"/>
    <w:rsid w:val="009F5BC7"/>
    <w:rsid w:val="00A07593"/>
    <w:rsid w:val="00A141E8"/>
    <w:rsid w:val="00A1658E"/>
    <w:rsid w:val="00A50546"/>
    <w:rsid w:val="00A818BB"/>
    <w:rsid w:val="00A8540D"/>
    <w:rsid w:val="00A96CF8"/>
    <w:rsid w:val="00AB1063"/>
    <w:rsid w:val="00AB37ED"/>
    <w:rsid w:val="00AC545B"/>
    <w:rsid w:val="00AF700D"/>
    <w:rsid w:val="00B11EC8"/>
    <w:rsid w:val="00B157B0"/>
    <w:rsid w:val="00B36802"/>
    <w:rsid w:val="00B416EE"/>
    <w:rsid w:val="00B42730"/>
    <w:rsid w:val="00B50294"/>
    <w:rsid w:val="00B53DBB"/>
    <w:rsid w:val="00B713FE"/>
    <w:rsid w:val="00B87659"/>
    <w:rsid w:val="00BB6380"/>
    <w:rsid w:val="00BF664E"/>
    <w:rsid w:val="00C535CB"/>
    <w:rsid w:val="00C613AF"/>
    <w:rsid w:val="00C70786"/>
    <w:rsid w:val="00C77822"/>
    <w:rsid w:val="00C8222A"/>
    <w:rsid w:val="00CE08E9"/>
    <w:rsid w:val="00CE687D"/>
    <w:rsid w:val="00D30C2B"/>
    <w:rsid w:val="00D449B4"/>
    <w:rsid w:val="00D45945"/>
    <w:rsid w:val="00D619F1"/>
    <w:rsid w:val="00D66593"/>
    <w:rsid w:val="00D90069"/>
    <w:rsid w:val="00DC360C"/>
    <w:rsid w:val="00DD7870"/>
    <w:rsid w:val="00E11988"/>
    <w:rsid w:val="00E36BB1"/>
    <w:rsid w:val="00E55D74"/>
    <w:rsid w:val="00E612AD"/>
    <w:rsid w:val="00E6540C"/>
    <w:rsid w:val="00E81E2A"/>
    <w:rsid w:val="00EB2569"/>
    <w:rsid w:val="00ED220B"/>
    <w:rsid w:val="00EE0952"/>
    <w:rsid w:val="00EE12E4"/>
    <w:rsid w:val="00F05825"/>
    <w:rsid w:val="00F5070E"/>
    <w:rsid w:val="00F72F94"/>
    <w:rsid w:val="00F80163"/>
    <w:rsid w:val="00FB2D62"/>
    <w:rsid w:val="00FB6231"/>
    <w:rsid w:val="00FE0F43"/>
    <w:rsid w:val="06BF6284"/>
    <w:rsid w:val="07D821ED"/>
    <w:rsid w:val="1403A6F0"/>
    <w:rsid w:val="1440A4C7"/>
    <w:rsid w:val="176ECF30"/>
    <w:rsid w:val="21C5F5F1"/>
    <w:rsid w:val="24FF0033"/>
    <w:rsid w:val="25DF51A8"/>
    <w:rsid w:val="2CE6D0A9"/>
    <w:rsid w:val="2F136931"/>
    <w:rsid w:val="3402C0BB"/>
    <w:rsid w:val="4CDB1936"/>
    <w:rsid w:val="52F3120B"/>
    <w:rsid w:val="5AF42F70"/>
    <w:rsid w:val="61506038"/>
    <w:rsid w:val="65814C2E"/>
    <w:rsid w:val="66CEB17B"/>
    <w:rsid w:val="6A543EE0"/>
    <w:rsid w:val="7489246A"/>
    <w:rsid w:val="78A6C27F"/>
    <w:rsid w:val="7BF73CC1"/>
    <w:rsid w:val="7DF6843C"/>
    <w:rsid w:val="7E72D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84ED2"/>
  <w14:defaultImageDpi w14:val="32767"/>
  <w15:chartTrackingRefBased/>
  <w15:docId w15:val="{44382D83-C12C-4D7C-AB55-1BFD1FFB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uiPriority="6" w:semiHidden="1" w:unhideWhenUsed="1" w:qFormat="1"/>
    <w:lsdException w:name="Signature" w:uiPriority="0"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uiPriority="4"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9"/>
    <w:unhideWhenUsed/>
    <w:qFormat/>
    <w:rsid w:val="003E24DF"/>
    <w:pPr>
      <w:spacing w:before="0" w:after="360" w:line="240" w:lineRule="auto"/>
      <w:contextualSpacing/>
      <w:outlineLvl w:val="0"/>
    </w:pPr>
    <w:rPr>
      <w:rFonts w:asciiTheme="majorHAnsi" w:hAnsiTheme="majorHAnsi" w:eastAsiaTheme="majorEastAsia"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hAnsiTheme="majorHAnsi" w:eastAsiaTheme="majorEastAsia" w:cstheme="majorBidi"/>
      <w:color w:val="729928"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8"/>
    <w:rsid w:val="003E24DF"/>
    <w:rPr>
      <w:rFonts w:asciiTheme="majorHAnsi" w:hAnsiTheme="majorHAnsi" w:eastAsiaTheme="majorEastAsia" w:cstheme="majorBidi"/>
      <w:caps/>
      <w:color w:val="729928" w:themeColor="accent1" w:themeShade="BF"/>
      <w:kern w:val="20"/>
      <w:sz w:val="20"/>
      <w:szCs w:val="20"/>
    </w:rPr>
  </w:style>
  <w:style w:type="paragraph" w:styleId="Recipient" w:customStyle="1">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styleId="SalutationChar" w:customStyle="1">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styleId="ClosingChar" w:customStyle="1">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nhideWhenUsed/>
    <w:qFormat/>
    <w:rsid w:val="003E24DF"/>
    <w:rPr>
      <w:b/>
      <w:bCs/>
    </w:rPr>
  </w:style>
  <w:style w:type="character" w:styleId="SignatureChar" w:customStyle="1">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rsid w:val="003E24DF"/>
    <w:pPr>
      <w:spacing w:after="0" w:line="240" w:lineRule="auto"/>
      <w:jc w:val="right"/>
    </w:pPr>
  </w:style>
  <w:style w:type="character" w:styleId="HeaderChar" w:customStyle="1">
    <w:name w:val="Header Char"/>
    <w:basedOn w:val="DefaultParagraphFont"/>
    <w:link w:val="Header"/>
    <w:uiPriority w:val="99"/>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styleId="ContactInfo" w:customStyle="1">
    <w:name w:val="Contact Info"/>
    <w:basedOn w:val="Normal"/>
    <w:uiPriority w:val="1"/>
    <w:qFormat/>
    <w:rsid w:val="003E24DF"/>
    <w:pPr>
      <w:spacing w:before="0" w:after="0"/>
    </w:pPr>
  </w:style>
  <w:style w:type="character" w:styleId="Heading2Char" w:customStyle="1">
    <w:name w:val="Heading 2 Char"/>
    <w:basedOn w:val="DefaultParagraphFont"/>
    <w:link w:val="Heading2"/>
    <w:uiPriority w:val="9"/>
    <w:rsid w:val="004A2B0D"/>
    <w:rPr>
      <w:rFonts w:asciiTheme="majorHAnsi" w:hAnsiTheme="majorHAnsi" w:eastAsiaTheme="majorEastAsia"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hAnsi="Times New Roman" w:cs="Times New Roman" w:eastAsiaTheme="minorEastAsia"/>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styleId="FooterChar" w:customStyle="1">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styleId="TitleChar" w:customStyle="1">
    <w:name w:val="Title Char"/>
    <w:basedOn w:val="DefaultParagraphFont"/>
    <w:link w:val="Title"/>
    <w:uiPriority w:val="10"/>
    <w:rsid w:val="00D45945"/>
    <w:rPr>
      <w:rFonts w:asciiTheme="majorHAnsi" w:hAnsiTheme="majorHAnsi" w:eastAsiaTheme="majorEastAsia" w:cstheme="majorBidi"/>
      <w:caps/>
      <w:color w:val="000000" w:themeColor="text1"/>
      <w:kern w:val="20"/>
      <w:sz w:val="20"/>
      <w:szCs w:val="20"/>
    </w:rPr>
  </w:style>
  <w:style w:type="character" w:styleId="Hyperlink">
    <w:name w:val="Hyperlink"/>
    <w:basedOn w:val="DefaultParagraphFont"/>
    <w:uiPriority w:val="99"/>
    <w:unhideWhenUsed/>
    <w:rsid w:val="00E36BB1"/>
    <w:rPr>
      <w:color w:val="EE7B08" w:themeColor="hyperlink"/>
      <w:u w:val="single"/>
    </w:rPr>
  </w:style>
  <w:style w:type="paragraph" w:styleId="NoSpacing">
    <w:name w:val="No Spacing"/>
    <w:uiPriority w:val="1"/>
    <w:qFormat/>
    <w:rsid w:val="00E36BB1"/>
    <w:rPr>
      <w:rFonts w:eastAsiaTheme="minorHAnsi"/>
      <w:color w:val="595959" w:themeColor="text1" w:themeTint="A6"/>
      <w:kern w:val="20"/>
      <w:sz w:val="20"/>
      <w:szCs w:val="20"/>
    </w:rPr>
  </w:style>
  <w:style w:type="paragraph" w:styleId="ListParagraph">
    <w:name w:val="List Paragraph"/>
    <w:basedOn w:val="Normal"/>
    <w:uiPriority w:val="34"/>
    <w:qFormat/>
    <w:rsid w:val="00410483"/>
    <w:pPr>
      <w:ind w:left="720"/>
      <w:contextualSpacing/>
    </w:pPr>
  </w:style>
  <w:style w:type="paragraph" w:styleId="BalloonText">
    <w:name w:val="Balloon Text"/>
    <w:basedOn w:val="Normal"/>
    <w:link w:val="BalloonTextChar"/>
    <w:uiPriority w:val="99"/>
    <w:semiHidden/>
    <w:unhideWhenUsed/>
    <w:rsid w:val="00A818BB"/>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818BB"/>
    <w:rPr>
      <w:rFonts w:ascii="Segoe UI" w:hAnsi="Segoe UI" w:cs="Segoe UI" w:eastAsiaTheme="minorHAnsi"/>
      <w:color w:val="595959" w:themeColor="text1" w:themeTint="A6"/>
      <w:kern w:val="20"/>
      <w:sz w:val="18"/>
      <w:szCs w:val="18"/>
    </w:rPr>
  </w:style>
  <w:style w:type="table" w:styleId="TableGrid">
    <w:name w:val="Table Grid"/>
    <w:basedOn w:val="TableNormal"/>
    <w:uiPriority w:val="39"/>
    <w:rsid w:val="00B4273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B37ED"/>
    <w:rPr>
      <w:color w:val="605E5C"/>
      <w:shd w:val="clear" w:color="auto" w:fill="E1DFDD"/>
    </w:rPr>
  </w:style>
  <w:style w:type="table" w:styleId="TableGridLight">
    <w:name w:val="Grid Table Light"/>
    <w:basedOn w:val="TableNormal"/>
    <w:uiPriority w:val="40"/>
    <w:rsid w:val="00754EE3"/>
    <w:pPr>
      <w:spacing w:before="40"/>
    </w:pPr>
    <w:rPr>
      <w:rFonts w:ascii="Century Gothic" w:hAnsi="Century Gothic" w:eastAsia="Century Gothic" w:cs="Century Gothic"/>
      <w:color w:val="595959"/>
      <w:sz w:val="20"/>
      <w:szCs w:val="20"/>
      <w:lang w:eastAsia="en-US"/>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TableParagraph" w:customStyle="1">
    <w:name w:val="Table Paragraph"/>
    <w:basedOn w:val="Normal"/>
    <w:uiPriority w:val="1"/>
    <w:qFormat/>
    <w:rsid w:val="00754EE3"/>
    <w:pPr>
      <w:widowControl w:val="0"/>
      <w:spacing w:before="134"/>
      <w:ind w:left="176"/>
    </w:pPr>
    <w:rPr>
      <w:rFonts w:eastAsia="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72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sidy\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001AE7002D764FA00831FD785FB6CA" ma:contentTypeVersion="8" ma:contentTypeDescription="Create a new document." ma:contentTypeScope="" ma:versionID="c2eb69f607b80b6e6610e34b5da61089">
  <xsd:schema xmlns:xsd="http://www.w3.org/2001/XMLSchema" xmlns:xs="http://www.w3.org/2001/XMLSchema" xmlns:p="http://schemas.microsoft.com/office/2006/metadata/properties" xmlns:ns2="290165f4-e7e5-4cd0-b4a6-536edacf03b9" targetNamespace="http://schemas.microsoft.com/office/2006/metadata/properties" ma:root="true" ma:fieldsID="ee701ad859ba5bc83af6b5aa5a0890a7" ns2:_="">
    <xsd:import namespace="290165f4-e7e5-4cd0-b4a6-536edacf03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165f4-e7e5-4cd0-b4a6-536edacf0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C5678C-09FF-4421-8779-7737903BBA09}"/>
</file>

<file path=customXml/itemProps2.xml><?xml version="1.0" encoding="utf-8"?>
<ds:datastoreItem xmlns:ds="http://schemas.openxmlformats.org/officeDocument/2006/customXml" ds:itemID="{01425C3A-38F8-451D-A719-23CAFBA9FB40}">
  <ds:schemaRefs>
    <ds:schemaRef ds:uri="http://schemas.microsoft.com/office/2006/documentManagement/types"/>
    <ds:schemaRef ds:uri="http://schemas.microsoft.com/office/infopath/2007/PartnerControls"/>
    <ds:schemaRef ds:uri="http://purl.org/dc/dcmitype/"/>
    <ds:schemaRef ds:uri="http://www.w3.org/XML/1998/namespace"/>
    <ds:schemaRef ds:uri="http://schemas.openxmlformats.org/package/2006/metadata/core-properties"/>
    <ds:schemaRef ds:uri="http://purl.org/dc/terms/"/>
    <ds:schemaRef ds:uri="d2a904ae-3272-4b4e-9562-061e3e905069"/>
    <ds:schemaRef ds:uri="67d93e58-0212-4c78-89ac-3e5ea7b6a40c"/>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18387866-9333-43C1-8E1B-7FE367E6D6AB}">
  <ds:schemaRefs>
    <ds:schemaRef ds:uri="http://schemas.openxmlformats.org/officeDocument/2006/bibliography"/>
  </ds:schemaRefs>
</ds:datastoreItem>
</file>

<file path=customXml/itemProps4.xml><?xml version="1.0" encoding="utf-8"?>
<ds:datastoreItem xmlns:ds="http://schemas.openxmlformats.org/officeDocument/2006/customXml" ds:itemID="{3ED9F3AD-72AF-4345-9160-5CE49569BA0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Bold logo letterhead</ap:Template>
  <ap:Application>Microsoft Word for the web</ap:Application>
  <ap:DocSecurity>0</ap:DocSecurity>
  <ap:ScaleCrop>false</ap:ScaleCrop>
  <ap:Company>{C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Tooson, CDCA, QBHS</dc:creator>
  <cp:keywords>Lucas County CSEA</cp:keywords>
  <dc:description/>
  <cp:lastModifiedBy>Sana Ali</cp:lastModifiedBy>
  <cp:revision>8</cp:revision>
  <cp:lastPrinted>2024-04-04T20:02:00Z</cp:lastPrinted>
  <dcterms:created xsi:type="dcterms:W3CDTF">2024-07-26T14:40:00Z</dcterms:created>
  <dcterms:modified xsi:type="dcterms:W3CDTF">2024-09-04T14:03:55Z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0x010100FB001AE7002D764FA00831FD785FB6CA</vt:lpwstr>
  </property>
  <property fmtid="{D5CDD505-2E9C-101B-9397-08002B2CF9AE}" pid="3" name="MSIP_Label_97369c15-8016-49f0-b0f0-9b1fb05db83a_Enabled">
    <vt:lpwstr>True</vt:lpwstr>
  </property>
  <property fmtid="{D5CDD505-2E9C-101B-9397-08002B2CF9AE}" pid="4" name="MSIP_Label_97369c15-8016-49f0-b0f0-9b1fb05db83a_SiteId">
    <vt:lpwstr>f9914f5c-6fc2-4043-9c04-6ccec0b819f5</vt:lpwstr>
  </property>
  <property fmtid="{D5CDD505-2E9C-101B-9397-08002B2CF9AE}" pid="5" name="MSIP_Label_97369c15-8016-49f0-b0f0-9b1fb05db83a_Owner">
    <vt:lpwstr>FS121546@firstsolar.com</vt:lpwstr>
  </property>
  <property fmtid="{D5CDD505-2E9C-101B-9397-08002B2CF9AE}" pid="6" name="MSIP_Label_97369c15-8016-49f0-b0f0-9b1fb05db83a_SetDate">
    <vt:lpwstr>2019-07-01T19:39:34.7601978Z</vt:lpwstr>
  </property>
  <property fmtid="{D5CDD505-2E9C-101B-9397-08002B2CF9AE}" pid="7" name="MSIP_Label_97369c15-8016-49f0-b0f0-9b1fb05db83a_Name">
    <vt:lpwstr>Sensitive Personal Data</vt:lpwstr>
  </property>
  <property fmtid="{D5CDD505-2E9C-101B-9397-08002B2CF9AE}" pid="8" name="MSIP_Label_97369c15-8016-49f0-b0f0-9b1fb05db83a_Application">
    <vt:lpwstr>Microsoft Azure Information Protection</vt:lpwstr>
  </property>
  <property fmtid="{D5CDD505-2E9C-101B-9397-08002B2CF9AE}" pid="9" name="MSIP_Label_97369c15-8016-49f0-b0f0-9b1fb05db83a_Extended_MSFT_Method">
    <vt:lpwstr>Manual</vt:lpwstr>
  </property>
  <property fmtid="{D5CDD505-2E9C-101B-9397-08002B2CF9AE}" pid="10" name="Sensitivity">
    <vt:lpwstr>Sensitive Personal Data</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Order">
    <vt:r8>19800</vt:r8>
  </property>
  <property fmtid="{D5CDD505-2E9C-101B-9397-08002B2CF9AE}" pid="19" name="_SourceUrl">
    <vt:lpwstr/>
  </property>
  <property fmtid="{D5CDD505-2E9C-101B-9397-08002B2CF9AE}" pid="20" name="_SharedFileIndex">
    <vt:lpwstr/>
  </property>
</Properties>
</file>